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b6af476112eed1199e0c599ff49a00a8a8eb098"/>
    <w:p>
      <w:pPr>
        <w:pStyle w:val="Heading1"/>
      </w:pPr>
      <w:r>
        <w:t xml:space="preserve">Form E5-2. Policyholder Notice of Loss and Request for Coverage Position: Loss Involving UAP Activity or Government Response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https://nhilaw.com/forms/e5-2.html</w:t>
      </w:r>
    </w:p>
    <w:p>
      <w:pPr>
        <w:pStyle w:val="BodyText"/>
        <w:spacing w:after="160" w:line="259" w:lineRule="auto"/>
      </w:pPr>
      <w:r>
        <w:rPr>
          <w:bCs/>
          <w:b/>
        </w:rPr>
        <w:t xml:space="preserve">Use.</w:t>
      </w:r>
      <w:r>
        <w:t xml:space="preserve"> </w:t>
      </w:r>
      <w:r>
        <w:t xml:space="preserve">The two coverage disputes most likely after such a loss are (1) whether the insurer can invoke</w:t>
      </w:r>
      <w:r>
        <w:t xml:space="preserve"> </w:t>
      </w:r>
      <w:r>
        <w:t xml:space="preserve">a war, hostile action, or sovereign-act exclusion, and (2) whether the policyholder gave timely notice</w:t>
      </w:r>
      <w:r>
        <w:t xml:space="preserve"> </w:t>
      </w:r>
      <w:r>
        <w:t xml:space="preserve">and preserved evidence. This letter gives notice promptly, preserves the record, asks the insurer to</w:t>
      </w:r>
      <w:r>
        <w:t xml:space="preserve"> </w:t>
      </w:r>
      <w:r>
        <w:t xml:space="preserve">state its position in writing, and frames the exclusion question before the insurer does. It avoids</w:t>
      </w:r>
      <w:r>
        <w:t xml:space="preserve"> </w:t>
      </w:r>
      <w:r>
        <w:t xml:space="preserve">asserting facts the policyholder cannot yet prove about the cause of the loss.</w:t>
      </w:r>
    </w:p>
    <w:p>
      <w:pPr>
        <w:pStyle w:val="BodyText"/>
        <w:spacing w:after="160" w:line="259" w:lineRule="auto"/>
      </w:pPr>
      <w:r>
        <w:rPr>
          <w:bCs/>
          <w:b/>
        </w:rPr>
        <w:t xml:space="preserve">When to use.</w:t>
      </w:r>
      <w:r>
        <w:t xml:space="preserve"> </w:t>
      </w:r>
      <w:r>
        <w:t xml:space="preserve">An insured giving notice of a loss that may involve UAP.</w:t>
      </w:r>
      <w:r>
        <w:t xml:space="preserve"> </w:t>
      </w:r>
      <w:r>
        <w:rPr>
          <w:bCs/>
          <w:b/>
        </w:rPr>
        <w:t xml:space="preserve">Not for:</w:t>
      </w:r>
      <w:r>
        <w:t xml:space="preserve"> </w:t>
      </w:r>
      <w:r>
        <w:t xml:space="preserve">Losses with no possible coverage question.</w:t>
      </w:r>
    </w:p>
    <w:p>
      <w:pPr>
        <w:pStyle w:val="BodyText"/>
        <w:spacing w:after="160" w:line="259" w:lineRule="auto"/>
      </w:pPr>
      <w:r>
        <w:rPr>
          <w:bCs/>
          <w:b/>
        </w:rPr>
        <w:t xml:space="preserve">Deadlines.</w:t>
      </w:r>
      <w:r>
        <w:t xml:space="preserve"> </w:t>
      </w:r>
      <w:r>
        <w:t xml:space="preserve">Give notice as soon as practicable; many policies set fixed periods.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[Date]</w:t>
      </w:r>
    </w:p>
    <w:p>
      <w:pPr>
        <w:pStyle w:val="BodyText"/>
      </w:pPr>
      <w:r>
        <w:t xml:space="preserve">VIA [EMAIL AND CERTIFIED MAIL]</w:t>
      </w:r>
    </w:p>
    <w:p>
      <w:pPr>
        <w:pStyle w:val="BodyText"/>
      </w:pPr>
      <w:r>
        <w:t xml:space="preserve">[Insurer claims department / designated notice address under the policy]</w:t>
      </w:r>
      <w:r>
        <w:br/>
      </w:r>
      <w:r>
        <w:t xml:space="preserve">[Broker, if notice to broker is permitted or required]</w:t>
      </w:r>
    </w:p>
    <w:p>
      <w:pPr>
        <w:pStyle w:val="BodyText"/>
      </w:pPr>
      <w:r>
        <w:rPr>
          <w:bCs/>
          <w:b/>
        </w:rPr>
        <w:t xml:space="preserve">Re: Notice of loss and request for coverage position</w:t>
      </w:r>
      <w:r>
        <w:br/>
      </w:r>
      <w:r>
        <w:rPr>
          <w:bCs/>
          <w:b/>
        </w:rPr>
        <w:t xml:space="preserve">Insured: [Name]</w:t>
      </w:r>
      <w:r>
        <w:br/>
      </w:r>
      <w:r>
        <w:rPr>
          <w:bCs/>
          <w:b/>
        </w:rPr>
        <w:t xml:space="preserve">Policy No.: [__] Policy period: [__]</w:t>
      </w:r>
      <w:r>
        <w:br/>
      </w:r>
      <w:r>
        <w:rPr>
          <w:bCs/>
          <w:b/>
        </w:rPr>
        <w:t xml:space="preserve">Date of loss: [__] Location: [__]</w:t>
      </w:r>
    </w:p>
    <w:p>
      <w:pPr>
        <w:pStyle w:val="BodyText"/>
      </w:pPr>
      <w:r>
        <w:t xml:space="preserve">Dear Sir or Madam:</w:t>
      </w:r>
    </w:p>
    <w:p>
      <w:pPr>
        <w:pStyle w:val="BodyText"/>
      </w:pPr>
      <w:r>
        <w:t xml:space="preserve">[Insured] gives notice of a loss under the policy identified above and requests that you acknowledge</w:t>
      </w:r>
      <w:r>
        <w:t xml:space="preserve"> </w:t>
      </w:r>
      <w:r>
        <w:t xml:space="preserve">this notice and state your coverage position in writing.</w:t>
      </w:r>
    </w:p>
    <w:p>
      <w:pPr>
        <w:pStyle w:val="BodyText"/>
      </w:pPr>
      <w:r>
        <w:rPr>
          <w:bCs/>
          <w:b/>
        </w:rPr>
        <w:t xml:space="preserve">1. The loss.</w:t>
      </w:r>
      <w:r>
        <w:t xml:space="preserve"> </w:t>
      </w:r>
      <w:r>
        <w:t xml:space="preserve">On [date], at approximately [time], [describe what happened in plain factual terms:</w:t>
      </w:r>
      <w:r>
        <w:t xml:space="preserve"> </w:t>
      </w:r>
      <w:r>
        <w:t xml:space="preserve">e.g.,</w:t>
      </w:r>
      <w:r>
        <w:t xml:space="preserve"> </w:t>
      </w:r>
      <w:r>
        <w:t xml:space="preserve">“</w:t>
      </w:r>
      <w:r>
        <w:t xml:space="preserve">the insured aircraft, N____, experienced a loss of electrical power and a forced landing near</w:t>
      </w:r>
      <w:r>
        <w:t xml:space="preserve"> </w:t>
      </w:r>
      <w:r>
        <w:t xml:space="preserve">____</w:t>
      </w:r>
      <w:r>
        <w:t xml:space="preserve">”</w:t>
      </w:r>
      <w:r>
        <w:t xml:space="preserve">;</w:t>
      </w:r>
      <w:r>
        <w:t xml:space="preserve"> </w:t>
      </w:r>
      <w:r>
        <w:t xml:space="preserve">“</w:t>
      </w:r>
      <w:r>
        <w:t xml:space="preserve">the insured’s facility sustained damage to ____</w:t>
      </w:r>
      <w:r>
        <w:t xml:space="preserve">”</w:t>
      </w:r>
      <w:r>
        <w:t xml:space="preserve">;</w:t>
      </w:r>
      <w:r>
        <w:t xml:space="preserve"> </w:t>
      </w:r>
      <w:r>
        <w:t xml:space="preserve">“</w:t>
      </w:r>
      <w:r>
        <w:t xml:space="preserve">operations at ____ were suspended when the</w:t>
      </w:r>
      <w:r>
        <w:t xml:space="preserve"> </w:t>
      </w:r>
      <w:r>
        <w:t xml:space="preserve">Federal Aviation Administration closed the airspace</w:t>
      </w:r>
      <w:r>
        <w:t xml:space="preserve">”</w:t>
      </w:r>
      <w:r>
        <w:t xml:space="preserve">]. The physical damage and losses known to date</w:t>
      </w:r>
      <w:r>
        <w:t xml:space="preserve"> </w:t>
      </w:r>
      <w:r>
        <w:t xml:space="preserve">are [describe]. We are still assessing the full extent of the loss and will supplement this notice.</w:t>
      </w:r>
    </w:p>
    <w:p>
      <w:pPr>
        <w:pStyle w:val="BodyText"/>
      </w:pPr>
      <w:r>
        <w:rPr>
          <w:bCs/>
          <w:b/>
        </w:rPr>
        <w:t xml:space="preserve">2. Information about the cause.</w:t>
      </w:r>
      <w:r>
        <w:t xml:space="preserve"> </w:t>
      </w:r>
      <w:r>
        <w:t xml:space="preserve">[Choose and adapt:]</w:t>
      </w:r>
      <w:r>
        <w:t xml:space="preserve"> </w:t>
      </w:r>
      <w:r>
        <w:t xml:space="preserve">- [Crew members / employees / witnesses] reported observing [describe in their words] at or near the</w:t>
      </w:r>
      <w:r>
        <w:t xml:space="preserve"> </w:t>
      </w:r>
      <w:r>
        <w:t xml:space="preserve">time of the loss. [Insured] has reported the observation to [the FAA / the All-domain Anomaly</w:t>
      </w:r>
      <w:r>
        <w:t xml:space="preserve"> </w:t>
      </w:r>
      <w:r>
        <w:t xml:space="preserve">Resolution Office / local law enforcement] [give report or case number if any].</w:t>
      </w:r>
      <w:r>
        <w:t xml:space="preserve"> </w:t>
      </w:r>
      <w:r>
        <w:t xml:space="preserve">- [Governmental authority] [closed the airspace / issued a temporary flight restriction / restricted</w:t>
      </w:r>
      <w:r>
        <w:t xml:space="preserve"> </w:t>
      </w:r>
      <w:r>
        <w:t xml:space="preserve">access to the site / took custody of debris or equipment] on [date]. [Insured] has requested</w:t>
      </w:r>
      <w:r>
        <w:t xml:space="preserve"> </w:t>
      </w:r>
      <w:r>
        <w:t xml:space="preserve">information about the reason for that action and will provide what it receives.</w:t>
      </w:r>
    </w:p>
    <w:p>
      <w:pPr>
        <w:pStyle w:val="BodyText"/>
      </w:pPr>
      <w:r>
        <w:t xml:space="preserve">[Insured] does not yet know the cause of the loss. Nothing in this letter is an admission about the</w:t>
      </w:r>
      <w:r>
        <w:t xml:space="preserve"> </w:t>
      </w:r>
      <w:r>
        <w:t xml:space="preserve">cause, and [Insured] reserves the right to supplement or correct this account as information develops.</w:t>
      </w:r>
    </w:p>
    <w:p>
      <w:pPr>
        <w:pStyle w:val="BodyText"/>
      </w:pPr>
      <w:r>
        <w:rPr>
          <w:bCs/>
          <w:b/>
        </w:rPr>
        <w:t xml:space="preserve">3. Coverage.</w:t>
      </w:r>
      <w:r>
        <w:t xml:space="preserve"> </w:t>
      </w:r>
      <w:r>
        <w:t xml:space="preserve">[Insured] believes the loss is covered under [identify insuring agreement(s), e.g.,</w:t>
      </w:r>
      <w:r>
        <w:t xml:space="preserve"> </w:t>
      </w:r>
      <w:r>
        <w:t xml:space="preserve">“</w:t>
      </w:r>
      <w:r>
        <w:t xml:space="preserve">the all-risks physical damage coverage</w:t>
      </w:r>
      <w:r>
        <w:t xml:space="preserve">”</w:t>
      </w:r>
      <w:r>
        <w:t xml:space="preserve"> </w:t>
      </w:r>
      <w:r>
        <w:t xml:space="preserve">and</w:t>
      </w:r>
      <w:r>
        <w:t xml:space="preserve"> </w:t>
      </w:r>
      <w:r>
        <w:t xml:space="preserve">“</w:t>
      </w:r>
      <w:r>
        <w:t xml:space="preserve">the business interruption coverage</w:t>
      </w:r>
      <w:r>
        <w:t xml:space="preserve">”</w:t>
      </w:r>
      <w:r>
        <w:t xml:space="preserve">]. [Insured]</w:t>
      </w:r>
      <w:r>
        <w:t xml:space="preserve"> </w:t>
      </w:r>
      <w:r>
        <w:t xml:space="preserve">anticipates that questions may arise under the policy’s exclusions for [war, hostile or warlike action,</w:t>
      </w:r>
      <w:r>
        <w:t xml:space="preserve"> </w:t>
      </w:r>
      <w:r>
        <w:t xml:space="preserve">acts of a sovereign power, or confiscation by governmental authority]. [Insured]’s position is that</w:t>
      </w:r>
      <w:r>
        <w:t xml:space="preserve"> </w:t>
      </w:r>
      <w:r>
        <w:t xml:space="preserve">those exclusions do not apply. War and hostile-action exclusions have been read to require hostilities</w:t>
      </w:r>
      <w:r>
        <w:t xml:space="preserve"> </w:t>
      </w:r>
      <w:r>
        <w:t xml:space="preserve">between sovereign or quasi-sovereign entities, and exclusions are construed narrowly against the</w:t>
      </w:r>
      <w:r>
        <w:t xml:space="preserve"> </w:t>
      </w:r>
      <w:r>
        <w:t xml:space="preserve">insurer.</w:t>
      </w:r>
      <w:r>
        <w:t xml:space="preserve"> </w:t>
      </w:r>
      <w:r>
        <w:rPr>
          <w:iCs/>
          <w:i/>
        </w:rPr>
        <w:t xml:space="preserve">Universal Cable Productions, LLC v. Atlantic Specialty Insurance Co.</w:t>
      </w:r>
      <w:r>
        <w:t xml:space="preserve">, 929 F.3d 1143 (9th Cir.</w:t>
      </w:r>
      <w:r>
        <w:t xml:space="preserve"> </w:t>
      </w:r>
      <w:r>
        <w:t xml:space="preserve">2019);</w:t>
      </w:r>
      <w:r>
        <w:t xml:space="preserve"> </w:t>
      </w:r>
      <w:r>
        <w:rPr>
          <w:iCs/>
          <w:i/>
        </w:rPr>
        <w:t xml:space="preserve">Pan American World Airways, Inc. v. Aetna Casualty &amp; Surety Co.</w:t>
      </w:r>
      <w:r>
        <w:t xml:space="preserve">, 505 F.2d 989 (2d Cir. 1974);</w:t>
      </w:r>
      <w:r>
        <w:t xml:space="preserve"> </w:t>
      </w:r>
      <w:r>
        <w:rPr>
          <w:iCs/>
          <w:i/>
        </w:rPr>
        <w:t xml:space="preserve">Merck &amp; Co. v. Ace American Insurance Co.</w:t>
      </w:r>
      <w:r>
        <w:t xml:space="preserve">, 475 N.J. Super. 420 (App. Div. 2023),</w:t>
      </w:r>
      <w:r>
        <w:t xml:space="preserve"> </w:t>
      </w:r>
      <w:r>
        <w:rPr>
          <w:iCs/>
          <w:i/>
        </w:rPr>
        <w:t xml:space="preserve">appeals dismissed</w:t>
      </w:r>
      <w:r>
        <w:t xml:space="preserve">,</w:t>
      </w:r>
      <w:r>
        <w:t xml:space="preserve"> </w:t>
      </w:r>
      <w:r>
        <w:t xml:space="preserve">256 N.J. 190 (2024). No sovereign has claimed responsibility for, or been identified as the cause of,</w:t>
      </w:r>
      <w:r>
        <w:t xml:space="preserve"> </w:t>
      </w:r>
      <w:r>
        <w:t xml:space="preserve">this loss. If you intend to rely on any exclusion, please identify the exclusion and the facts on</w:t>
      </w:r>
      <w:r>
        <w:t xml:space="preserve"> </w:t>
      </w:r>
      <w:r>
        <w:t xml:space="preserve">which you rely.</w:t>
      </w:r>
    </w:p>
    <w:p>
      <w:pPr>
        <w:pStyle w:val="BodyText"/>
      </w:pPr>
      <w:r>
        <w:rPr>
          <w:bCs/>
          <w:b/>
        </w:rPr>
        <w:t xml:space="preserve">4. Requests.</w:t>
      </w:r>
      <w:r>
        <w:t xml:space="preserve"> </w:t>
      </w:r>
      <w:r>
        <w:t xml:space="preserve">Please:</w:t>
      </w:r>
      <w:r>
        <w:br/>
      </w:r>
      <w:r>
        <w:t xml:space="preserve">(a) acknowledge receipt of this notice and assign a claim number;</w:t>
      </w:r>
      <w:r>
        <w:br/>
      </w:r>
      <w:r>
        <w:t xml:space="preserve">(b) identify the adjuster and any independent adjuster or expert retained;</w:t>
      </w:r>
      <w:r>
        <w:br/>
      </w:r>
      <w:r>
        <w:t xml:space="preserve">(c) state in writing whether you accept coverage, deny coverage, or reserve rights, and on what</w:t>
      </w:r>
      <w:r>
        <w:t xml:space="preserve"> </w:t>
      </w:r>
      <w:r>
        <w:t xml:space="preserve">grounds;</w:t>
      </w:r>
      <w:r>
        <w:br/>
      </w:r>
      <w:r>
        <w:t xml:space="preserve">(d) provide a complete certified copy of the policy, including all endorsements and any exclusion</w:t>
      </w:r>
      <w:r>
        <w:t xml:space="preserve"> </w:t>
      </w:r>
      <w:r>
        <w:t xml:space="preserve">forms; and</w:t>
      </w:r>
      <w:r>
        <w:br/>
      </w:r>
      <w:r>
        <w:t xml:space="preserve">(e) advise whether you contend any condition precedent (notice, proof of loss, cooperation,</w:t>
      </w:r>
      <w:r>
        <w:t xml:space="preserve"> </w:t>
      </w:r>
      <w:r>
        <w:t xml:space="preserve">examination) has not been satisfied.</w:t>
      </w:r>
    </w:p>
    <w:p>
      <w:pPr>
        <w:pStyle w:val="BodyText"/>
      </w:pPr>
      <w:r>
        <w:rPr>
          <w:bCs/>
          <w:b/>
        </w:rPr>
        <w:t xml:space="preserve">5. Preservation.</w:t>
      </w:r>
      <w:r>
        <w:t xml:space="preserve"> </w:t>
      </w:r>
      <w:r>
        <w:t xml:space="preserve">[Insured] is preserving [list: damaged property, flight data and cockpit voice</w:t>
      </w:r>
      <w:r>
        <w:t xml:space="preserve"> </w:t>
      </w:r>
      <w:r>
        <w:t xml:space="preserve">recorders, maintenance records, sensor data, photographs and video, communications with air traffic</w:t>
      </w:r>
      <w:r>
        <w:t xml:space="preserve"> </w:t>
      </w:r>
      <w:r>
        <w:t xml:space="preserve">control, and witness contact information]. If [a governmental authority] has taken custody of any</w:t>
      </w:r>
      <w:r>
        <w:t xml:space="preserve"> </w:t>
      </w:r>
      <w:r>
        <w:t xml:space="preserve">evidence, [Insured] has asked that authority to preserve it [see Form D4-1]. Please let us know if</w:t>
      </w:r>
      <w:r>
        <w:t xml:space="preserve"> </w:t>
      </w:r>
      <w:r>
        <w:t xml:space="preserve">you wish to inspect any property before repairs. Absent your response within [10] business days,</w:t>
      </w:r>
      <w:r>
        <w:t xml:space="preserve"> </w:t>
      </w:r>
      <w:r>
        <w:t xml:space="preserve">[Insured] will proceed with repairs and mitigation necessary to prevent further loss, after</w:t>
      </w:r>
      <w:r>
        <w:t xml:space="preserve"> </w:t>
      </w:r>
      <w:r>
        <w:t xml:space="preserve">documenting the condition of the property.</w:t>
      </w:r>
    </w:p>
    <w:p>
      <w:pPr>
        <w:pStyle w:val="BodyText"/>
      </w:pPr>
      <w:r>
        <w:rPr>
          <w:bCs/>
          <w:b/>
        </w:rPr>
        <w:t xml:space="preserve">6. Proof of loss.</w:t>
      </w:r>
      <w:r>
        <w:t xml:space="preserve"> </w:t>
      </w:r>
      <w:r>
        <w:t xml:space="preserve">[Insured] will submit a sworn proof of loss within the time required by the</w:t>
      </w:r>
      <w:r>
        <w:t xml:space="preserve"> </w:t>
      </w:r>
      <w:r>
        <w:t xml:space="preserve">policy, or within any extension you agree to in writing. Please confirm the deadline.</w:t>
      </w:r>
    </w:p>
    <w:p>
      <w:pPr>
        <w:pStyle w:val="BodyText"/>
      </w:pPr>
      <w:r>
        <w:t xml:space="preserve">[Insured] reserves all rights under the policy and applicable law.</w:t>
      </w:r>
    </w:p>
    <w:p>
      <w:pPr>
        <w:pStyle w:val="BodyText"/>
      </w:pPr>
      <w:r>
        <w:t xml:space="preserve">Sincerely,</w:t>
      </w:r>
    </w:p>
    <w:p>
      <w:pPr>
        <w:pStyle w:val="BodyText"/>
      </w:pPr>
      <w:r>
        <w:t xml:space="preserve">[Name, title, contact]</w:t>
      </w:r>
    </w:p>
    <w:p>
      <w:pPr>
        <w:pStyle w:val="BodyText"/>
      </w:pPr>
      <w:r>
        <w:t xml:space="preserve">cc: [Broker]; [Counsel]</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1" w:name="drafting-notes"/>
    <w:p>
      <w:pPr>
        <w:pStyle w:val="Heading2"/>
      </w:pPr>
      <w:r>
        <w:t xml:space="preserve">Drafting notes</w:t>
      </w:r>
    </w:p>
    <w:p>
      <w:pPr>
        <w:pStyle w:val="Compact"/>
        <w:numPr>
          <w:ilvl w:val="0"/>
          <w:numId w:val="1001"/>
        </w:numPr>
      </w:pPr>
      <w:r>
        <w:rPr>
          <w:bCs/>
          <w:b/>
        </w:rPr>
        <w:t xml:space="preserve">Timing.</w:t>
      </w:r>
      <w:r>
        <w:t xml:space="preserve"> </w:t>
      </w:r>
      <w:r>
        <w:t xml:space="preserve">Send the notice as soon as the loss is known, even if the cause is unclear. Late notice</w:t>
      </w:r>
      <w:r>
        <w:t xml:space="preserve"> </w:t>
      </w:r>
      <w:r>
        <w:t xml:space="preserve">is the insurer’s easiest defense.</w:t>
      </w:r>
    </w:p>
    <w:p>
      <w:pPr>
        <w:pStyle w:val="Compact"/>
        <w:numPr>
          <w:ilvl w:val="0"/>
          <w:numId w:val="1001"/>
        </w:numPr>
      </w:pPr>
      <w:r>
        <w:rPr>
          <w:bCs/>
          <w:b/>
        </w:rPr>
        <w:t xml:space="preserve">Aviation losses and government seizure.</w:t>
      </w:r>
      <w:r>
        <w:t xml:space="preserve"> </w:t>
      </w:r>
      <w:r>
        <w:t xml:space="preserve">The standard aviation war-perils exclusion (LSW 555D/AVN 48B type)</w:t>
      </w:r>
      <w:r>
        <w:t xml:space="preserve"> </w:t>
      </w:r>
      <w:r>
        <w:t xml:space="preserve">covers more than hostilities. Its clause (f) excludes confiscation, seizure, detention, or requisition</w:t>
      </w:r>
      <w:r>
        <w:t xml:space="preserve"> </w:t>
      </w:r>
      <w:r>
        <w:t xml:space="preserve">“</w:t>
      </w:r>
      <w:r>
        <w:t xml:space="preserve">by or under</w:t>
      </w:r>
      <w:r>
        <w:t xml:space="preserve"> </w:t>
      </w:r>
      <w:r>
        <w:t xml:space="preserve">the order of any Government,</w:t>
      </w:r>
      <w:r>
        <w:t xml:space="preserve">”</w:t>
      </w:r>
      <w:r>
        <w:t xml:space="preserve"> </w:t>
      </w:r>
      <w:r>
        <w:t xml:space="preserve">and a New York court applied it to bar all-risks claims for aircraft that Russian</w:t>
      </w:r>
      <w:r>
        <w:t xml:space="preserve"> </w:t>
      </w:r>
      <w:r>
        <w:t xml:space="preserve">airlines kept after 2022.</w:t>
      </w:r>
      <w:r>
        <w:t xml:space="preserve"> </w:t>
      </w:r>
      <w:r>
        <w:rPr>
          <w:iCs/>
          <w:i/>
        </w:rPr>
        <w:t xml:space="preserve">Aircastle Ltd. v. Chubb European Group S.E.</w:t>
      </w:r>
      <w:r>
        <w:t xml:space="preserve">, 259 N.Y.S.3d 893, 900, 907-09 (Sup. Ct.</w:t>
      </w:r>
      <w:r>
        <w:t xml:space="preserve"> </w:t>
      </w:r>
      <w:r>
        <w:t xml:space="preserve">N.Y. County 2026). If the government has detained or requisitioned the aircraft, payload, or recovered material,</w:t>
      </w:r>
      <w:r>
        <w:t xml:space="preserve"> </w:t>
      </w:r>
      <w:r>
        <w:t xml:space="preserve">give notice under the war-risk policy as well, and do not rely on the hostilities cases in paragraph 3 for that</w:t>
      </w:r>
      <w:r>
        <w:t xml:space="preserve"> </w:t>
      </w:r>
      <w:r>
        <w:t xml:space="preserve">part of the loss.</w:t>
      </w:r>
    </w:p>
    <w:p>
      <w:pPr>
        <w:pStyle w:val="Compact"/>
        <w:numPr>
          <w:ilvl w:val="0"/>
          <w:numId w:val="1001"/>
        </w:numPr>
      </w:pPr>
      <w:r>
        <w:rPr>
          <w:bCs/>
          <w:b/>
        </w:rPr>
        <w:t xml:space="preserve">Describe observations only.</w:t>
      </w:r>
      <w:r>
        <w:t xml:space="preserve"> </w:t>
      </w:r>
      <w:r>
        <w:t xml:space="preserve">Report what witnesses saw in their own words. Do not</w:t>
      </w:r>
      <w:r>
        <w:t xml:space="preserve"> </w:t>
      </w:r>
      <w:r>
        <w:t xml:space="preserve">characterize the event as an attack, a crash of a craft, or an act of any being. A description that</w:t>
      </w:r>
      <w:r>
        <w:t xml:space="preserve"> </w:t>
      </w:r>
      <w:r>
        <w:t xml:space="preserve">sounds like hostilities invites a war-exclusion denial.</w:t>
      </w:r>
    </w:p>
    <w:p>
      <w:pPr>
        <w:pStyle w:val="Compact"/>
        <w:numPr>
          <w:ilvl w:val="0"/>
          <w:numId w:val="1001"/>
        </w:numPr>
      </w:pPr>
      <w:r>
        <w:rPr>
          <w:bCs/>
          <w:b/>
        </w:rPr>
        <w:t xml:space="preserve">State insurance regulations.</w:t>
      </w:r>
      <w:r>
        <w:t xml:space="preserve"> </w:t>
      </w:r>
      <w:r>
        <w:t xml:space="preserve">Many states impose claim-handling deadlines on insurers (for</w:t>
      </w:r>
      <w:r>
        <w:t xml:space="preserve"> </w:t>
      </w:r>
      <w:r>
        <w:t xml:space="preserve">example, California’s Fair Claims Settlement Practices Regulations, Cal. Code Regs. tit. 10, §2695.1</w:t>
      </w:r>
      <w:r>
        <w:t xml:space="preserve"> </w:t>
      </w:r>
      <w:r>
        <w:t xml:space="preserve">et seq., which require acknowledgment of a claim within 15 days of notice (§2695.5(e)) and a decision</w:t>
      </w:r>
      <w:r>
        <w:t xml:space="preserve"> </w:t>
      </w:r>
      <w:r>
        <w:t xml:space="preserve">within 40 days of proof of claim (§2695.7(b))). Cite the applicable regulation in a follow-up letter if</w:t>
      </w:r>
      <w:r>
        <w:t xml:space="preserve"> </w:t>
      </w:r>
      <w:r>
        <w:t xml:space="preserve">the insurer does not respond.</w:t>
      </w:r>
    </w:p>
    <w:p>
      <w:pPr>
        <w:pStyle w:val="Compact"/>
        <w:numPr>
          <w:ilvl w:val="0"/>
          <w:numId w:val="1001"/>
        </w:numPr>
      </w:pPr>
      <w:r>
        <w:rPr>
          <w:bCs/>
          <w:b/>
        </w:rPr>
        <w:t xml:space="preserve">Classified matters.</w:t>
      </w:r>
      <w:r>
        <w:t xml:space="preserve"> </w:t>
      </w:r>
      <w:r>
        <w:t xml:space="preserve">If the loss involves a government contract or classified equipment, clear</w:t>
      </w:r>
      <w:r>
        <w:t xml:space="preserve"> </w:t>
      </w:r>
      <w:r>
        <w:t xml:space="preserve">the letter with the contracting agency’s security office before sending, and describe the</w:t>
      </w:r>
      <w:r>
        <w:t xml:space="preserve"> </w:t>
      </w:r>
      <w:r>
        <w:t xml:space="preserve">government’s role only in unclassified, public terms.</w:t>
      </w:r>
    </w:p>
    <w:p>
      <w:pPr>
        <w:pStyle w:val="Compact"/>
        <w:numPr>
          <w:ilvl w:val="0"/>
          <w:numId w:val="1001"/>
        </w:numPr>
      </w:pPr>
      <w:r>
        <w:rPr>
          <w:bCs/>
          <w:b/>
        </w:rPr>
        <w:t xml:space="preserve">Montreal Convention.</w:t>
      </w:r>
      <w:r>
        <w:t xml:space="preserve"> </w:t>
      </w:r>
      <w:r>
        <w:t xml:space="preserve">For international carriage claims by passengers or shippers, the carrier’s</w:t>
      </w:r>
      <w:r>
        <w:t xml:space="preserve"> </w:t>
      </w:r>
      <w:r>
        <w:t xml:space="preserve">liability regime (</w:t>
      </w:r>
      <w:hyperlink r:id="rId20">
        <w:r>
          <w:rPr>
            <w:rStyle w:val="Hyperlink"/>
          </w:rPr>
          <w:t xml:space="preserve">Issue E5</w:t>
        </w:r>
      </w:hyperlink>
      <w:r>
        <w:t xml:space="preserve">) is separate from this first-party notice.</w:t>
      </w:r>
    </w:p>
    <w:p>
      <w:pPr>
        <w:pStyle w:val="Compact"/>
        <w:numPr>
          <w:ilvl w:val="0"/>
          <w:numId w:val="1001"/>
        </w:numPr>
      </w:pPr>
      <w:r>
        <w:t xml:space="preserve">Related:</w:t>
      </w:r>
      <w:r>
        <w:t xml:space="preserve"> </w:t>
      </w:r>
      <w:hyperlink r:id="rId20">
        <w:r>
          <w:rPr>
            <w:rStyle w:val="Hyperlink"/>
          </w:rPr>
          <w:t xml:space="preserve">Issue E5</w:t>
        </w:r>
      </w:hyperlink>
      <w:r>
        <w:t xml:space="preserve">; Forms D4-1, E1-1, E3-1, E5-1.</w:t>
      </w:r>
    </w:p>
    <w:bookmarkEnd w:id="21"/>
    <w:bookmarkEnd w:id="22"/>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e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e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E5-2. Policyholder Notice of Loss and Request for Coverage Position: Loss Involving UAP Activity or Government Response</dc:title>
  <dc:creator>nhilaw.com</dc:creator>
  <cp:keywords/>
  <dcterms:created xsi:type="dcterms:W3CDTF">2026-10-19T03:14:28Z</dcterms:created>
  <dcterms:modified xsi:type="dcterms:W3CDTF">2026-10-19T03:14:28Z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