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Insurance and Contract Risk After UAP Disclosure: Force Majeure, Exclusions, and Coverage</w:t>
      </w:r>
    </w:p>
    <w:p>
      <w:pPr>
        <w:pStyle w:val="Subtitle"/>
      </w:pPr>
      <w:r>
        <w:t xml:space="preserve">Version 1.10 · October 2026 · nhilaw.com/issues/e5.html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Force majeure clauses are read narrowly and by their listed events; a UAP event is most likely to excuse performance through a government order (airspace closure, facility shutdown) that a catch-all reaches (</w:t>
      </w:r>
      <w:r>
        <w:rPr>
          <w:iCs/>
          <w:i/>
        </w:rPr>
        <w:t xml:space="preserve">JN Contemporary</w:t>
      </w:r>
      <w:r>
        <w:t xml:space="preserve">), and money obligations are rarely excused (</w:t>
      </w:r>
      <w:r>
        <w:rPr>
          <w:iCs/>
          <w:i/>
        </w:rPr>
        <w:t xml:space="preserve">SVAP III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War and hostile-action exclusions have been read to require hostilities between sovereign or quasi-sovereign entities (</w:t>
      </w:r>
      <w:r>
        <w:rPr>
          <w:iCs/>
          <w:i/>
        </w:rPr>
        <w:t xml:space="preserve">Pan American</w:t>
      </w:r>
      <w:r>
        <w:t xml:space="preserve">;</w:t>
      </w:r>
      <w:r>
        <w:t xml:space="preserve"> </w:t>
      </w:r>
      <w:r>
        <w:rPr>
          <w:iCs/>
          <w:i/>
        </w:rPr>
        <w:t xml:space="preserve">Universal Cable</w:t>
      </w:r>
      <w:r>
        <w:t xml:space="preserve">), which favors coverage for damage caused by a non-human actor.</w:t>
      </w:r>
    </w:p>
    <w:p>
      <w:pPr>
        <w:pStyle w:val="Compact"/>
        <w:numPr>
          <w:ilvl w:val="0"/>
          <w:numId w:val="1001"/>
        </w:numPr>
      </w:pPr>
      <w:r>
        <w:t xml:space="preserve">Aviation war-perils exclusions also reach government confiscation, detention, and requisition whether or not there is a war (</w:t>
      </w:r>
      <w:r>
        <w:rPr>
          <w:iCs/>
          <w:i/>
        </w:rPr>
        <w:t xml:space="preserve">Aircastle</w:t>
      </w:r>
      <w:r>
        <w:t xml:space="preserve">), so a government seizure after a UAP incident belongs on war-risk cover.</w:t>
      </w:r>
    </w:p>
    <w:p>
      <w:pPr>
        <w:pStyle w:val="Compact"/>
        <w:numPr>
          <w:ilvl w:val="0"/>
          <w:numId w:val="1001"/>
        </w:numPr>
      </w:pPr>
      <w:r>
        <w:t xml:space="preserve">Civil-authority business-interruption coverage usually requires physical damage nearby; a closure</w:t>
      </w:r>
      <w:r>
        <w:t xml:space="preserve"> </w:t>
      </w:r>
      <w:r>
        <w:t xml:space="preserve">“</w:t>
      </w:r>
      <w:r>
        <w:t xml:space="preserve">based on fears of future attacks</w:t>
      </w:r>
      <w:r>
        <w:t xml:space="preserve">”</w:t>
      </w:r>
      <w:r>
        <w:t xml:space="preserve"> </w:t>
      </w:r>
      <w:r>
        <w:t xml:space="preserve">was not covered (</w:t>
      </w:r>
      <w:r>
        <w:rPr>
          <w:iCs/>
          <w:i/>
        </w:rPr>
        <w:t xml:space="preserve">United Air Lines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Draft now: define a</w:t>
      </w:r>
      <w:r>
        <w:t xml:space="preserve"> </w:t>
      </w:r>
      <w:r>
        <w:t xml:space="preserve">“</w:t>
      </w:r>
      <w:r>
        <w:t xml:space="preserve">UAP Event</w:t>
      </w:r>
      <w:r>
        <w:t xml:space="preserve">”</w:t>
      </w:r>
      <w:r>
        <w:t xml:space="preserve"> </w:t>
      </w:r>
      <w:r>
        <w:t xml:space="preserve">by reference to 50 U.S.C. §3373(n)(8) and allocate the risk expressly (Forms E5-1, E5-2).</w:t>
      </w:r>
    </w:p>
    <w:p>
      <w:r>
        <w:pict>
          <v:rect style="width:0;height:1.5pt" o:hralign="center" o:hrstd="t" o:hr="t"/>
        </w:pict>
      </w:r>
    </w:p>
    <w:bookmarkEnd w:id="21"/>
    <w:bookmarkStart w:id="22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Official confirmation of NHI and of UAP activity would raise ordinary contract and insurance questions in an</w:t>
      </w:r>
      <w:r>
        <w:t xml:space="preserve"> </w:t>
      </w:r>
      <w:r>
        <w:t xml:space="preserve">unfamiliar setting. The sections below take them in turn: excuse of performance under contracts (§2), property and</w:t>
      </w:r>
      <w:r>
        <w:t xml:space="preserve"> </w:t>
      </w:r>
      <w:r>
        <w:t xml:space="preserve">business interruption coverage (§3), aviation and space (§4), life and accident policies (§5), and drafting (§6).</w:t>
      </w:r>
    </w:p>
    <w:bookmarkEnd w:id="22"/>
    <w:bookmarkStart w:id="23" w:name="contracts-force-majeure-and-excuse"/>
    <w:p>
      <w:pPr>
        <w:pStyle w:val="Heading2"/>
      </w:pPr>
      <w:r>
        <w:t xml:space="preserve">2. Contracts: force majeure and excuse</w:t>
      </w:r>
    </w:p>
    <w:p>
      <w:pPr>
        <w:pStyle w:val="FirstParagraph"/>
      </w:pPr>
      <w:r>
        <w:rPr>
          <w:bCs/>
          <w:b/>
        </w:rPr>
        <w:t xml:space="preserve">Force majeure and excuse.</w:t>
      </w:r>
      <w:r>
        <w:t xml:space="preserve"> </w:t>
      </w:r>
      <w:r>
        <w:t xml:space="preserve">Whether a disclosure event, or UAP activity itself (airspace closures,</w:t>
      </w:r>
      <w:r>
        <w:t xml:space="preserve"> </w:t>
      </w:r>
      <w:r>
        <w:t xml:space="preserve">interference with equipment, government restrictions), excuses performance depends on the clause’s language.</w:t>
      </w:r>
      <w:r>
        <w:t xml:space="preserve"> </w:t>
      </w:r>
      <w:r>
        <w:t xml:space="preserve">Clauses that list</w:t>
      </w:r>
      <w:r>
        <w:t xml:space="preserve"> </w:t>
      </w:r>
      <w:r>
        <w:t xml:space="preserve">“</w:t>
      </w:r>
      <w:r>
        <w:t xml:space="preserve">acts of God,</w:t>
      </w:r>
      <w:r>
        <w:t xml:space="preserve">”</w:t>
      </w:r>
      <w:r>
        <w:t xml:space="preserve"> </w:t>
      </w:r>
      <w:r>
        <w:t xml:space="preserve">“</w:t>
      </w:r>
      <w:r>
        <w:t xml:space="preserve">acts of government,</w:t>
      </w:r>
      <w:r>
        <w:t xml:space="preserve">”</w:t>
      </w:r>
      <w:r>
        <w:t xml:space="preserve"> </w:t>
      </w:r>
      <w:r>
        <w:t xml:space="preserve">“</w:t>
      </w:r>
      <w:r>
        <w:t xml:space="preserve">war,</w:t>
      </w:r>
      <w:r>
        <w:t xml:space="preserve">”</w:t>
      </w:r>
      <w:r>
        <w:t xml:space="preserve"> </w:t>
      </w:r>
      <w:r>
        <w:t xml:space="preserve">“</w:t>
      </w:r>
      <w:r>
        <w:t xml:space="preserve">hostilities,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any cause beyond the</w:t>
      </w:r>
      <w:r>
        <w:t xml:space="preserve"> </w:t>
      </w:r>
      <w:r>
        <w:t xml:space="preserve">reasonable control</w:t>
      </w:r>
      <w:r>
        <w:t xml:space="preserve">”</w:t>
      </w:r>
      <w:r>
        <w:t xml:space="preserve"> </w:t>
      </w:r>
      <w:r>
        <w:t xml:space="preserve">of a party will be tested. Courts construe force majeure clauses narrowly and require</w:t>
      </w:r>
      <w:r>
        <w:t xml:space="preserve"> </w:t>
      </w:r>
      <w:r>
        <w:t xml:space="preserve">causation. The post-COVID cases show how an unlisted event is handled. In</w:t>
      </w:r>
      <w:r>
        <w:t xml:space="preserve"> </w:t>
      </w:r>
      <w:r>
        <w:rPr>
          <w:iCs/>
          <w:i/>
        </w:rPr>
        <w:t xml:space="preserve">JN Contemporary Art LLC v. Phillips</w:t>
      </w:r>
      <w:r>
        <w:rPr>
          <w:iCs/>
          <w:i/>
        </w:rPr>
        <w:t xml:space="preserve"> </w:t>
      </w:r>
      <w:r>
        <w:rPr>
          <w:iCs/>
          <w:i/>
        </w:rPr>
        <w:t xml:space="preserve">Auctioneers LLC</w:t>
      </w:r>
      <w:r>
        <w:t xml:space="preserve">, 29 F.4th 118 (2d Cir. 2022), a clause covering</w:t>
      </w:r>
      <w:r>
        <w:t xml:space="preserve"> </w:t>
      </w:r>
      <w:r>
        <w:t xml:space="preserve">“</w:t>
      </w:r>
      <w:r>
        <w:t xml:space="preserve">circumstances beyond our or your reasonable</w:t>
      </w:r>
      <w:r>
        <w:t xml:space="preserve"> </w:t>
      </w:r>
      <w:r>
        <w:t xml:space="preserve">control, including, without limitation, as a result of natural disaster, fire, flood, general strike, war, armed</w:t>
      </w:r>
      <w:r>
        <w:t xml:space="preserve"> </w:t>
      </w:r>
      <w:r>
        <w:t xml:space="preserve">conflict, terrorist attack or nuclear or chemical contamination</w:t>
      </w:r>
      <w:r>
        <w:t xml:space="preserve">”</w:t>
      </w:r>
      <w:r>
        <w:t xml:space="preserve"> </w:t>
      </w:r>
      <w:r>
        <w:t xml:space="preserve">was read with</w:t>
      </w:r>
      <w:r>
        <w:t xml:space="preserve"> </w:t>
      </w:r>
      <w:r>
        <w:rPr>
          <w:iCs/>
          <w:i/>
        </w:rPr>
        <w:t xml:space="preserve">ejusdem generis</w:t>
      </w:r>
      <w:r>
        <w:t xml:space="preserve">, and</w:t>
      </w:r>
      <w:r>
        <w:t xml:space="preserve"> </w:t>
      </w:r>
      <w:r>
        <w:t xml:space="preserve">“</w:t>
      </w:r>
      <w:r>
        <w:t xml:space="preserve">the</w:t>
      </w:r>
      <w:r>
        <w:t xml:space="preserve"> </w:t>
      </w:r>
      <w:r>
        <w:t xml:space="preserve">COVID-19 pandemic, coupled with the state government’s orders restricting the activities of nonessential</w:t>
      </w:r>
      <w:r>
        <w:t xml:space="preserve"> </w:t>
      </w:r>
      <w:r>
        <w:t xml:space="preserve">businesses,</w:t>
      </w:r>
      <w:r>
        <w:t xml:space="preserve">”</w:t>
      </w:r>
      <w:r>
        <w:t xml:space="preserve"> </w:t>
      </w:r>
      <w:r>
        <w:t xml:space="preserve">fell within it. A UAP event that prompts government airspace closures or</w:t>
      </w:r>
      <w:r>
        <w:t xml:space="preserve"> </w:t>
      </w:r>
      <w:r>
        <w:t xml:space="preserve">facility shutdowns would be argued the same way: the government order, more than the phenomenon itself, is</w:t>
      </w:r>
      <w:r>
        <w:t xml:space="preserve"> </w:t>
      </w:r>
      <w:r>
        <w:t xml:space="preserve">what places the event within a catch-all of this kind. Absent a clause, the common-law doctrines of impossibility, impracticability (UCC §2-615;</w:t>
      </w:r>
      <w:r>
        <w:t xml:space="preserve"> </w:t>
      </w:r>
      <w:r>
        <w:t xml:space="preserve">Restatement (Second) of Contracts §261), and frustration of purpose apply, and require an unforeseeable event</w:t>
      </w:r>
      <w:r>
        <w:t xml:space="preserve"> </w:t>
      </w:r>
      <w:r>
        <w:t xml:space="preserve">that makes performance impracticable.</w:t>
      </w:r>
    </w:p>
    <w:p>
      <w:pPr>
        <w:pStyle w:val="BodyText"/>
      </w:pPr>
      <w:r>
        <w:rPr>
          <w:bCs/>
          <w:b/>
        </w:rPr>
        <w:t xml:space="preserve">California’s statutory excuse and its limits.</w:t>
      </w:r>
      <w:r>
        <w:t xml:space="preserve"> </w:t>
      </w:r>
      <w:r>
        <w:t xml:space="preserve">California has a statute that reads as if written for this issue:</w:t>
      </w:r>
      <w:r>
        <w:t xml:space="preserve"> </w:t>
      </w:r>
      <w:r>
        <w:t xml:space="preserve">performance is excused when</w:t>
      </w:r>
      <w:r>
        <w:t xml:space="preserve"> </w:t>
      </w:r>
      <w:r>
        <w:t xml:space="preserve">“</w:t>
      </w:r>
      <w:r>
        <w:t xml:space="preserve">prevented or delayed by an irresistible, superhuman cause,</w:t>
      </w:r>
      <w:r>
        <w:t xml:space="preserve">”</w:t>
      </w:r>
      <w:r>
        <w:t xml:space="preserve"> </w:t>
      </w:r>
      <w:r>
        <w:t xml:space="preserve">unless the parties have</w:t>
      </w:r>
      <w:r>
        <w:t xml:space="preserve"> </w:t>
      </w:r>
      <w:r>
        <w:t xml:space="preserve">“</w:t>
      </w:r>
      <w:r>
        <w:t xml:space="preserve">expressly agreed to the contrary,</w:t>
      </w:r>
      <w:r>
        <w:t xml:space="preserve">”</w:t>
      </w:r>
      <w:r>
        <w:t xml:space="preserve"> </w:t>
      </w:r>
      <w:r>
        <w:t xml:space="preserve">and when prevented or delayed by the operation of law (Civ. Code §1511, subds.</w:t>
      </w:r>
      <w:r>
        <w:t xml:space="preserve"> </w:t>
      </w:r>
      <w:r>
        <w:t xml:space="preserve">1-2). The post-COVID decisions show how narrow it is. A tenant shut by government closure orders still owed rent,</w:t>
      </w:r>
      <w:r>
        <w:t xml:space="preserve"> </w:t>
      </w:r>
      <w:r>
        <w:t xml:space="preserve">because the orders did not prevent it from paying; the lease’s force majeure clause, which excluded failures</w:t>
      </w:r>
      <w:r>
        <w:t xml:space="preserve"> </w:t>
      </w:r>
      <w:r>
        <w:t xml:space="preserve">“</w:t>
      </w:r>
      <w:r>
        <w:t xml:space="preserve">which can be cured by the payment of money,</w:t>
      </w:r>
      <w:r>
        <w:t xml:space="preserve">”</w:t>
      </w:r>
      <w:r>
        <w:t xml:space="preserve"> </w:t>
      </w:r>
      <w:r>
        <w:t xml:space="preserve">was an express agreement to the contrary; and impossibility and</w:t>
      </w:r>
      <w:r>
        <w:t xml:space="preserve"> </w:t>
      </w:r>
      <w:r>
        <w:t xml:space="preserve">frustration failed for the same reason.</w:t>
      </w:r>
      <w:r>
        <w:t xml:space="preserve"> </w:t>
      </w:r>
      <w:r>
        <w:rPr>
          <w:iCs/>
          <w:i/>
        </w:rPr>
        <w:t xml:space="preserve">SVAP III Poway Crossings, LLC v. Fitness International, LLC</w:t>
      </w:r>
      <w:r>
        <w:t xml:space="preserve"> </w:t>
      </w:r>
      <w:r>
        <w:t xml:space="preserve">(2023) 87</w:t>
      </w:r>
      <w:r>
        <w:t xml:space="preserve"> </w:t>
      </w:r>
      <w:r>
        <w:t xml:space="preserve">Cal.App.5th 882, 892-95. Money obligations will rarely be excused by a UAP event, however extraordinary. Where a</w:t>
      </w:r>
      <w:r>
        <w:t xml:space="preserve"> </w:t>
      </w:r>
      <w:r>
        <w:t xml:space="preserve">clause does apply, its allocation terms decide who keeps money already paid: musicians kept their deposits after a</w:t>
      </w:r>
      <w:r>
        <w:t xml:space="preserve"> </w:t>
      </w:r>
      <w:r>
        <w:t xml:space="preserve">festival was cancelled for COVID-19 because the contract let them do so if they were</w:t>
      </w:r>
      <w:r>
        <w:t xml:space="preserve"> </w:t>
      </w:r>
      <w:r>
        <w:t xml:space="preserve">“</w:t>
      </w:r>
      <w:r>
        <w:t xml:space="preserve">otherwise ready, willing,</w:t>
      </w:r>
      <w:r>
        <w:t xml:space="preserve"> </w:t>
      </w:r>
      <w:r>
        <w:t xml:space="preserve">and able to perform.</w:t>
      </w:r>
      <w:r>
        <w:t xml:space="preserve">”</w:t>
      </w:r>
      <w:r>
        <w:t xml:space="preserve"> </w:t>
      </w:r>
      <w:r>
        <w:rPr>
          <w:iCs/>
          <w:i/>
        </w:rPr>
        <w:t xml:space="preserve">VFLA Eventco, LLC v. William Morris Endeavor Entertainment, LLC</w:t>
      </w:r>
      <w:r>
        <w:t xml:space="preserve"> </w:t>
      </w:r>
      <w:r>
        <w:t xml:space="preserve">(2024) 100 Cal.App.5th</w:t>
      </w:r>
      <w:r>
        <w:t xml:space="preserve"> </w:t>
      </w:r>
      <w:r>
        <w:t xml:space="preserve">287, 298-301. Contracts for events, launches, or flights that a UAP incident or a related airspace closure could</w:t>
      </w:r>
      <w:r>
        <w:t xml:space="preserve"> </w:t>
      </w:r>
      <w:r>
        <w:t xml:space="preserve">cancel should say expressly whether such an incident is a force majeure event and who bears deposits and costs.</w:t>
      </w:r>
    </w:p>
    <w:bookmarkEnd w:id="23"/>
    <w:bookmarkStart w:id="29" w:name="property-and-business-interruption"/>
    <w:p>
      <w:pPr>
        <w:pStyle w:val="Heading2"/>
      </w:pPr>
      <w:r>
        <w:t xml:space="preserve">3. Property and business interruption</w:t>
      </w:r>
    </w:p>
    <w:bookmarkStart w:id="25" w:name="war-hostile-action-and-sovereign-acts"/>
    <w:p>
      <w:pPr>
        <w:pStyle w:val="Heading3"/>
      </w:pPr>
      <w:r>
        <w:t xml:space="preserve">3.1 War, hostile action, and sovereign acts</w:t>
      </w:r>
    </w:p>
    <w:p>
      <w:pPr>
        <w:pStyle w:val="FirstParagraph"/>
      </w:pPr>
      <w:r>
        <w:rPr>
          <w:bCs/>
          <w:b/>
        </w:rPr>
        <w:t xml:space="preserve">Insurance exclusions.</w:t>
      </w:r>
      <w:r>
        <w:t xml:space="preserve"> </w:t>
      </w:r>
      <w:r>
        <w:t xml:space="preserve">Property, aviation, and life policies commonly exclude</w:t>
      </w:r>
      <w:r>
        <w:t xml:space="preserve"> </w:t>
      </w:r>
      <w:r>
        <w:t xml:space="preserve">“</w:t>
      </w:r>
      <w:r>
        <w:t xml:space="preserve">war,</w:t>
      </w:r>
      <w:r>
        <w:t xml:space="preserve">”</w:t>
      </w:r>
      <w:r>
        <w:t xml:space="preserve"> </w:t>
      </w:r>
      <w:r>
        <w:t xml:space="preserve">“</w:t>
      </w:r>
      <w:r>
        <w:t xml:space="preserve">hostile or warlike</w:t>
      </w:r>
      <w:r>
        <w:t xml:space="preserve"> </w:t>
      </w:r>
      <w:r>
        <w:t xml:space="preserve">action,</w:t>
      </w:r>
      <w:r>
        <w:t xml:space="preserve">”</w:t>
      </w:r>
      <w:r>
        <w:t xml:space="preserve"> </w:t>
      </w:r>
      <w:r>
        <w:t xml:space="preserve">“</w:t>
      </w:r>
      <w:r>
        <w:t xml:space="preserve">insurrection,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acts of a sovereign power.</w:t>
      </w:r>
      <w:r>
        <w:t xml:space="preserve">”</w:t>
      </w:r>
      <w:r>
        <w:t xml:space="preserve"> </w:t>
      </w:r>
      <w:r>
        <w:t xml:space="preserve">Whether damage caused by a non-human craft, or by</w:t>
      </w:r>
      <w:r>
        <w:t xml:space="preserve"> </w:t>
      </w:r>
      <w:r>
        <w:t xml:space="preserve">government action against one, is</w:t>
      </w:r>
      <w:r>
        <w:t xml:space="preserve"> </w:t>
      </w:r>
      <w:r>
        <w:t xml:space="preserve">“</w:t>
      </w:r>
      <w:r>
        <w:t xml:space="preserve">war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hostile action</w:t>
      </w:r>
      <w:r>
        <w:t xml:space="preserve">”</w:t>
      </w:r>
      <w:r>
        <w:t xml:space="preserve"> </w:t>
      </w:r>
      <w:r>
        <w:t xml:space="preserve">is uncertain. The war exclusion has been read to</w:t>
      </w:r>
      <w:r>
        <w:t xml:space="preserve"> </w:t>
      </w:r>
      <w:r>
        <w:t xml:space="preserve">require hostilities between sovereign or quasi-sovereign entities (</w:t>
      </w:r>
      <w:r>
        <w:rPr>
          <w:iCs/>
          <w:i/>
        </w:rPr>
        <w:t xml:space="preserve">Pan American World Airways, Inc. v. Aetna</w:t>
      </w:r>
      <w:r>
        <w:rPr>
          <w:iCs/>
          <w:i/>
        </w:rPr>
        <w:t xml:space="preserve"> </w:t>
      </w:r>
      <w:r>
        <w:rPr>
          <w:iCs/>
          <w:i/>
        </w:rPr>
        <w:t xml:space="preserve">Casualty &amp; Surety Co.</w:t>
      </w:r>
      <w:r>
        <w:t xml:space="preserve">, 505 F.2d 989 (2d Cir. 1974);</w:t>
      </w:r>
      <w:r>
        <w:t xml:space="preserve"> </w:t>
      </w:r>
      <w:r>
        <w:rPr>
          <w:iCs/>
          <w:i/>
        </w:rPr>
        <w:t xml:space="preserve">Universal Cable Productions, LLC v. Atlantic Specialty</w:t>
      </w:r>
      <w:r>
        <w:rPr>
          <w:iCs/>
          <w:i/>
        </w:rPr>
        <w:t xml:space="preserve"> </w:t>
      </w:r>
      <w:r>
        <w:rPr>
          <w:iCs/>
          <w:i/>
        </w:rPr>
        <w:t xml:space="preserve">Insurance Co.</w:t>
      </w:r>
      <w:r>
        <w:t xml:space="preserve">, 929 F.3d 1143 (9th Cir. 2019)). A non-human actor is not a recognized sovereign (</w:t>
      </w:r>
      <w:hyperlink r:id="rId24">
        <w:r>
          <w:rPr>
            <w:rStyle w:val="Hyperlink"/>
          </w:rPr>
          <w:t xml:space="preserve">Issue F1</w:t>
        </w:r>
      </w:hyperlink>
      <w:r>
        <w:t xml:space="preserve">, F5),</w:t>
      </w:r>
      <w:r>
        <w:t xml:space="preserve"> </w:t>
      </w:r>
      <w:r>
        <w:t xml:space="preserve">which favors coverage.</w:t>
      </w:r>
    </w:p>
    <w:bookmarkEnd w:id="25"/>
    <w:bookmarkStart w:id="26" w:name="civil-authority-coverage"/>
    <w:p>
      <w:pPr>
        <w:pStyle w:val="Heading3"/>
      </w:pPr>
      <w:r>
        <w:t xml:space="preserve">3.2 Civil-authority coverage</w:t>
      </w:r>
    </w:p>
    <w:p>
      <w:pPr>
        <w:pStyle w:val="FirstParagraph"/>
      </w:pPr>
      <w:r>
        <w:t xml:space="preserve">Business-interruption policies often cover lost income when</w:t>
      </w:r>
      <w:r>
        <w:t xml:space="preserve"> </w:t>
      </w:r>
      <w:r>
        <w:t xml:space="preserve">“</w:t>
      </w:r>
      <w:r>
        <w:t xml:space="preserve">access to the Insured Locations is prohibited by order</w:t>
      </w:r>
      <w:r>
        <w:t xml:space="preserve"> </w:t>
      </w:r>
      <w:r>
        <w:t xml:space="preserve">of civil authority as a direct result of damage</w:t>
      </w:r>
      <w:r>
        <w:t xml:space="preserve">”</w:t>
      </w:r>
      <w:r>
        <w:t xml:space="preserve"> </w:t>
      </w:r>
      <w:r>
        <w:t xml:space="preserve">to nearby property. That language is a poor fit for UAP events. After</w:t>
      </w:r>
      <w:r>
        <w:t xml:space="preserve"> </w:t>
      </w:r>
      <w:r>
        <w:t xml:space="preserve">September 11, the Second Circuit held that United Air Lines could not recover for the shutdown of Reagan National</w:t>
      </w:r>
      <w:r>
        <w:t xml:space="preserve"> </w:t>
      </w:r>
      <w:r>
        <w:t xml:space="preserve">Airport under such a clause: flights had been halted before the attack on the Pentagon, and the government’s later</w:t>
      </w:r>
      <w:r>
        <w:t xml:space="preserve"> </w:t>
      </w:r>
      <w:r>
        <w:t xml:space="preserve">decision to keep the airport closed</w:t>
      </w:r>
      <w:r>
        <w:t xml:space="preserve"> </w:t>
      </w:r>
      <w:r>
        <w:t xml:space="preserve">“</w:t>
      </w:r>
      <w:r>
        <w:t xml:space="preserve">was based on fears of future attacks,</w:t>
      </w:r>
      <w:r>
        <w:t xml:space="preserve">”</w:t>
      </w:r>
      <w:r>
        <w:t xml:space="preserve"> </w:t>
      </w:r>
      <w:r>
        <w:t xml:space="preserve">not the damage itself.</w:t>
      </w:r>
      <w:r>
        <w:t xml:space="preserve"> </w:t>
      </w:r>
      <w:r>
        <w:rPr>
          <w:iCs/>
          <w:i/>
        </w:rPr>
        <w:t xml:space="preserve">United Air Lines,</w:t>
      </w:r>
      <w:r>
        <w:rPr>
          <w:iCs/>
          <w:i/>
        </w:rPr>
        <w:t xml:space="preserve"> </w:t>
      </w:r>
      <w:r>
        <w:rPr>
          <w:iCs/>
          <w:i/>
        </w:rPr>
        <w:t xml:space="preserve">Inc. v. Insurance Co. of the State of Pennsylvania</w:t>
      </w:r>
      <w:r>
        <w:t xml:space="preserve">, 439 F.3d 128, 134-35 (2d Cir. 2006). An airspace or area closure</w:t>
      </w:r>
      <w:r>
        <w:t xml:space="preserve"> </w:t>
      </w:r>
      <w:r>
        <w:t xml:space="preserve">ordered because of UAP activity, with no physical damage, will meet the same objection. Policyholders exposed to</w:t>
      </w:r>
      <w:r>
        <w:t xml:space="preserve"> </w:t>
      </w:r>
      <w:r>
        <w:t xml:space="preserve">closures should buy civil-authority coverage that does not require physical damage, or a non-damage business</w:t>
      </w:r>
      <w:r>
        <w:t xml:space="preserve"> </w:t>
      </w:r>
      <w:r>
        <w:t xml:space="preserve">interruption endorsement.</w:t>
      </w:r>
    </w:p>
    <w:bookmarkEnd w:id="26"/>
    <w:bookmarkStart w:id="28" w:name="Xddc040e595d1d321899416dc0d5709faf6da8f2"/>
    <w:p>
      <w:pPr>
        <w:pStyle w:val="Heading3"/>
      </w:pPr>
      <w:r>
        <w:t xml:space="preserve">3.3 Terrorism, nuclear, and causation provisions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Terrorism coverage.</w:t>
      </w:r>
      <w:r>
        <w:t xml:space="preserve"> </w:t>
      </w:r>
      <w:r>
        <w:t xml:space="preserve">The federal terrorism backstop applies only to an</w:t>
      </w:r>
      <w:r>
        <w:t xml:space="preserve"> </w:t>
      </w:r>
      <w:r>
        <w:t xml:space="preserve">“</w:t>
      </w:r>
      <w:r>
        <w:t xml:space="preserve">act of terrorism</w:t>
      </w:r>
      <w:r>
        <w:t xml:space="preserve">”</w:t>
      </w:r>
      <w:r>
        <w:t xml:space="preserve"> </w:t>
      </w:r>
      <w:r>
        <w:t xml:space="preserve">certified by the</w:t>
      </w:r>
      <w:r>
        <w:t xml:space="preserve"> </w:t>
      </w:r>
      <w:r>
        <w:t xml:space="preserve">Secretary of the Treasury under the Terrorism Risk Insurance Act, which requires conduct by individuals acting to</w:t>
      </w:r>
      <w:r>
        <w:t xml:space="preserve"> </w:t>
      </w:r>
      <w:r>
        <w:t xml:space="preserve">coerce the civilian population or influence government policy. Damage caused by a non-human actor would not be</w:t>
      </w:r>
      <w:r>
        <w:t xml:space="preserve"> </w:t>
      </w:r>
      <w:r>
        <w:t xml:space="preserve">certified, so terrorism coverage purchased under TRIA is unlikely to respond.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Nuclear and radioactive contamination exclusions</w:t>
      </w:r>
      <w:r>
        <w:t xml:space="preserve"> </w:t>
      </w:r>
      <w:r>
        <w:t xml:space="preserve">are standard in property policies. If UAP material is</w:t>
      </w:r>
      <w:r>
        <w:t xml:space="preserve"> </w:t>
      </w:r>
      <w:r>
        <w:t xml:space="preserve">radioactive (</w:t>
      </w:r>
      <w:hyperlink r:id="rId27">
        <w:r>
          <w:rPr>
            <w:rStyle w:val="Hyperlink"/>
          </w:rPr>
          <w:t xml:space="preserve">Issue E3</w:t>
        </w:r>
      </w:hyperlink>
      <w:r>
        <w:t xml:space="preserve">), losses from contamination may fall under those exclusions regardless of their source.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Causation.</w:t>
      </w:r>
      <w:r>
        <w:t xml:space="preserve"> </w:t>
      </w:r>
      <w:r>
        <w:t xml:space="preserve">Many policies contain anti-concurrent-causation language that excludes a loss if an excluded cause</w:t>
      </w:r>
      <w:r>
        <w:t xml:space="preserve"> </w:t>
      </w:r>
      <w:r>
        <w:t xml:space="preserve">contributed to it in any sequence. A loss caused by a UAP incident and by the government’s response to it should be</w:t>
      </w:r>
      <w:r>
        <w:t xml:space="preserve"> </w:t>
      </w:r>
      <w:r>
        <w:t xml:space="preserve">analyzed under each cause separately.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Fortuity.</w:t>
      </w:r>
      <w:r>
        <w:t xml:space="preserve"> </w:t>
      </w:r>
      <w:r>
        <w:t xml:space="preserve">All-risks coverage applies to fortuitous losses. An insured that knew of UAP activity at a site</w:t>
      </w:r>
      <w:r>
        <w:t xml:space="preserve"> </w:t>
      </w:r>
      <w:r>
        <w:t xml:space="preserve">before buying coverage may face a known-loss defense.</w:t>
      </w:r>
    </w:p>
    <w:bookmarkEnd w:id="28"/>
    <w:bookmarkEnd w:id="29"/>
    <w:bookmarkStart w:id="30" w:name="aviation-and-space"/>
    <w:p>
      <w:pPr>
        <w:pStyle w:val="Heading2"/>
      </w:pPr>
      <w:r>
        <w:t xml:space="preserve">4. Aviation and space</w:t>
      </w:r>
    </w:p>
    <w:p>
      <w:pPr>
        <w:pStyle w:val="FirstParagraph"/>
      </w:pPr>
      <w:r>
        <w:rPr>
          <w:bCs/>
          <w:b/>
        </w:rPr>
        <w:t xml:space="preserve">Aviation war-perils exclusions reach government seizure without any war.</w:t>
      </w:r>
      <w:r>
        <w:t xml:space="preserve"> </w:t>
      </w:r>
      <w:r>
        <w:t xml:space="preserve">The standard aviation</w:t>
      </w:r>
      <w:r>
        <w:t xml:space="preserve"> </w:t>
      </w:r>
      <w:r>
        <w:t xml:space="preserve">“</w:t>
      </w:r>
      <w:r>
        <w:t xml:space="preserve">War,</w:t>
      </w:r>
      <w:r>
        <w:t xml:space="preserve"> </w:t>
      </w:r>
      <w:r>
        <w:t xml:space="preserve">Hi-Jacking and Other Perils Exclusion</w:t>
      </w:r>
      <w:r>
        <w:t xml:space="preserve">”</w:t>
      </w:r>
      <w:r>
        <w:t xml:space="preserve"> </w:t>
      </w:r>
      <w:r>
        <w:t xml:space="preserve">covers more than hostilities. Its clause (f) excludes</w:t>
      </w:r>
      <w:r>
        <w:t xml:space="preserve"> </w:t>
      </w:r>
      <w:r>
        <w:t xml:space="preserve">“</w:t>
      </w:r>
      <w:r>
        <w:t xml:space="preserve">[c]onfiscation,</w:t>
      </w:r>
      <w:r>
        <w:t xml:space="preserve"> </w:t>
      </w:r>
      <w:r>
        <w:t xml:space="preserve">nationalisation, seizure, restraint, detention, appropriation, requisition for title or use by or under the order</w:t>
      </w:r>
      <w:r>
        <w:t xml:space="preserve"> </w:t>
      </w:r>
      <w:r>
        <w:t xml:space="preserve">of any Government (whether civil, military or de facto),</w:t>
      </w:r>
      <w:r>
        <w:t xml:space="preserve">”</w:t>
      </w:r>
      <w:r>
        <w:t xml:space="preserve"> </w:t>
      </w:r>
      <w:r>
        <w:t xml:space="preserve">and clause (d) excludes acts</w:t>
      </w:r>
      <w:r>
        <w:t xml:space="preserve"> </w:t>
      </w:r>
      <w:r>
        <w:t xml:space="preserve">“</w:t>
      </w:r>
      <w:r>
        <w:t xml:space="preserve">for political or terrorist</w:t>
      </w:r>
      <w:r>
        <w:t xml:space="preserve"> </w:t>
      </w:r>
      <w:r>
        <w:t xml:space="preserve">purposes</w:t>
      </w:r>
      <w:r>
        <w:t xml:space="preserve">”</w:t>
      </w:r>
      <w:r>
        <w:t xml:space="preserve"> </w:t>
      </w:r>
      <w:r>
        <w:t xml:space="preserve">by persons</w:t>
      </w:r>
      <w:r>
        <w:t xml:space="preserve"> </w:t>
      </w:r>
      <w:r>
        <w:t xml:space="preserve">“</w:t>
      </w:r>
      <w:r>
        <w:t xml:space="preserve">whether or not agents of a sovereign power.</w:t>
      </w:r>
      <w:r>
        <w:t xml:space="preserve">”</w:t>
      </w:r>
      <w:r>
        <w:t xml:space="preserve"> </w:t>
      </w:r>
      <w:r>
        <w:t xml:space="preserve">Applying that wording, a New York court held</w:t>
      </w:r>
      <w:r>
        <w:t xml:space="preserve"> </w:t>
      </w:r>
      <w:r>
        <w:t xml:space="preserve">that the exclusion barred all-risks claims by lessors whose aircraft Russian airlines kept after the 2022 invasion</w:t>
      </w:r>
      <w:r>
        <w:t xml:space="preserve"> </w:t>
      </w:r>
      <w:r>
        <w:t xml:space="preserve">of Ukraine, treating the war and the Russian government’s measures as the efficient proximate cause of the loss.</w:t>
      </w:r>
      <w:r>
        <w:t xml:space="preserve"> </w:t>
      </w:r>
      <w:r>
        <w:rPr>
          <w:iCs/>
          <w:i/>
        </w:rPr>
        <w:t xml:space="preserve">Aircastle Ltd. v. Chubb European Group S.E.</w:t>
      </w:r>
      <w:r>
        <w:t xml:space="preserve">, 259 N.Y.S.3d 893, 900, 907-09 (Sup. Ct. N.Y. County 2026). For UAP</w:t>
      </w:r>
      <w:r>
        <w:t xml:space="preserve"> </w:t>
      </w:r>
      <w:r>
        <w:t xml:space="preserve">risks the consequence is that an aircraft, payload, or recovered object detained or requisitioned by a government</w:t>
      </w:r>
      <w:r>
        <w:t xml:space="preserve"> </w:t>
      </w:r>
      <w:r>
        <w:t xml:space="preserve">after a UAP incident falls under the all-risks policy’s war-perils exclusion (and so belongs on war-risk cover)</w:t>
      </w:r>
      <w:r>
        <w:t xml:space="preserve"> </w:t>
      </w:r>
      <w:r>
        <w:t xml:space="preserve">whether or not any</w:t>
      </w:r>
      <w:r>
        <w:t xml:space="preserve"> </w:t>
      </w:r>
      <w:r>
        <w:t xml:space="preserve">“</w:t>
      </w:r>
      <w:r>
        <w:t xml:space="preserve">war</w:t>
      </w:r>
      <w:r>
        <w:t xml:space="preserve">”</w:t>
      </w:r>
      <w:r>
        <w:t xml:space="preserve"> </w:t>
      </w:r>
      <w:r>
        <w:t xml:space="preserve">exists, while damage from the phenomenon itself is not obviously within any clause of</w:t>
      </w:r>
      <w:r>
        <w:t xml:space="preserve"> </w:t>
      </w:r>
      <w:r>
        <w:t xml:space="preserve">the exclusion. The opposite result follows when the exclusion’s words are tied to military action: a</w:t>
      </w:r>
      <w:r>
        <w:t xml:space="preserve"> </w:t>
      </w:r>
      <w:r>
        <w:t xml:space="preserve">“</w:t>
      </w:r>
      <w:r>
        <w:t xml:space="preserve">Hostile/Warlike Action</w:t>
      </w:r>
      <w:r>
        <w:t xml:space="preserve">”</w:t>
      </w:r>
      <w:r>
        <w:t xml:space="preserve"> </w:t>
      </w:r>
      <w:r>
        <w:t xml:space="preserve">exclusion did not bar losses from the NotPetya cyberattack.</w:t>
      </w:r>
      <w:r>
        <w:t xml:space="preserve"> </w:t>
      </w:r>
      <w:r>
        <w:rPr>
          <w:iCs/>
          <w:i/>
        </w:rPr>
        <w:t xml:space="preserve">Merck &amp; Co. v. Ace American</w:t>
      </w:r>
      <w:r>
        <w:rPr>
          <w:iCs/>
          <w:i/>
        </w:rPr>
        <w:t xml:space="preserve"> </w:t>
      </w:r>
      <w:r>
        <w:rPr>
          <w:iCs/>
          <w:i/>
        </w:rPr>
        <w:t xml:space="preserve">Insurance Co.</w:t>
      </w:r>
      <w:r>
        <w:t xml:space="preserve">, 475 N.J. Super. 420 (App. Div. 2023), appeal dismissed, 256 N.J. 190 (2024). Policyholders should place war-risk cover alongside all-risks cover and read clause (f) closely.</w:t>
      </w:r>
    </w:p>
    <w:p>
      <w:pPr>
        <w:pStyle w:val="BodyText"/>
      </w:pPr>
      <w:r>
        <w:rPr>
          <w:bCs/>
          <w:b/>
        </w:rPr>
        <w:t xml:space="preserve">Hull and liability policies</w:t>
      </w:r>
      <w:r>
        <w:t xml:space="preserve"> </w:t>
      </w:r>
      <w:r>
        <w:t xml:space="preserve">apply to accidents involving UAP on their ordinary terms; the coverage questions are</w:t>
      </w:r>
      <w:r>
        <w:t xml:space="preserve"> </w:t>
      </w:r>
      <w:r>
        <w:t xml:space="preserve">the war-perils and government-action exclusions above.</w:t>
      </w:r>
    </w:p>
    <w:p>
      <w:pPr>
        <w:pStyle w:val="BodyText"/>
      </w:pPr>
      <w:r>
        <w:rPr>
          <w:bCs/>
          <w:b/>
        </w:rPr>
        <w:t xml:space="preserve">Montreal Convention.</w:t>
      </w:r>
      <w:r>
        <w:t xml:space="preserve"> </w:t>
      </w:r>
      <w:r>
        <w:t xml:space="preserve">For international carriage, the carrier is liable for death or bodily injury caused by an</w:t>
      </w:r>
      <w:r>
        <w:t xml:space="preserve"> </w:t>
      </w:r>
      <w:r>
        <w:t xml:space="preserve">accident on board or during embarkation or disembarkation (art. 17). Liability up to the first tier is strict; above</w:t>
      </w:r>
      <w:r>
        <w:t xml:space="preserve"> </w:t>
      </w:r>
      <w:r>
        <w:t xml:space="preserve">it the carrier escapes liability if it proves the damage was not due to its negligence or was solely due to a third</w:t>
      </w:r>
      <w:r>
        <w:t xml:space="preserve"> </w:t>
      </w:r>
      <w:r>
        <w:t xml:space="preserve">party (art. 21), and it may be exonerated to the extent the passenger’s own negligence contributed (art. 20). An</w:t>
      </w:r>
      <w:r>
        <w:t xml:space="preserve"> </w:t>
      </w:r>
      <w:r>
        <w:t xml:space="preserve">accident caused by an unidentified object would be litigated on the second tier: the carrier will argue that the</w:t>
      </w:r>
      <w:r>
        <w:t xml:space="preserve"> </w:t>
      </w:r>
      <w:r>
        <w:t xml:space="preserve">damage was solely due to a third party.</w:t>
      </w:r>
    </w:p>
    <w:p>
      <w:pPr>
        <w:pStyle w:val="BodyText"/>
      </w:pPr>
      <w:r>
        <w:rPr>
          <w:bCs/>
          <w:b/>
        </w:rPr>
        <w:t xml:space="preserve">Space insurance.</w:t>
      </w:r>
      <w:r>
        <w:t xml:space="preserve"> </w:t>
      </w:r>
      <w:r>
        <w:t xml:space="preserve">Launch and in-orbit policies cover satellite loss and damage, typically on an all-risks basis</w:t>
      </w:r>
      <w:r>
        <w:t xml:space="preserve"> </w:t>
      </w:r>
      <w:r>
        <w:t xml:space="preserve">with war, nuclear, and government-confiscation exclusions. Damage to a satellite by an unidentified object raises the</w:t>
      </w:r>
      <w:r>
        <w:t xml:space="preserve"> </w:t>
      </w:r>
      <w:r>
        <w:t xml:space="preserve">same</w:t>
      </w:r>
      <w:r>
        <w:t xml:space="preserve"> </w:t>
      </w:r>
      <w:r>
        <w:t xml:space="preserve">“</w:t>
      </w:r>
      <w:r>
        <w:t xml:space="preserve">war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hostile act</w:t>
      </w:r>
      <w:r>
        <w:t xml:space="preserve">”</w:t>
      </w:r>
      <w:r>
        <w:t xml:space="preserve"> </w:t>
      </w:r>
      <w:r>
        <w:t xml:space="preserve">questions as aviation, with the added problem of proving the cause from telemetry alone.</w:t>
      </w:r>
      <w:r>
        <w:t xml:space="preserve"> </w:t>
      </w:r>
      <w:r>
        <w:t xml:space="preserve">Operators should ask insurers in writing whether an anomaly attributed to UAP would be treated as excluded.</w:t>
      </w:r>
    </w:p>
    <w:bookmarkEnd w:id="30"/>
    <w:bookmarkStart w:id="31" w:name="life-and-accident-insurance"/>
    <w:p>
      <w:pPr>
        <w:pStyle w:val="Heading2"/>
      </w:pPr>
      <w:r>
        <w:t xml:space="preserve">5. Life and accident insurance</w:t>
      </w:r>
    </w:p>
    <w:p>
      <w:pPr>
        <w:pStyle w:val="FirstParagraph"/>
      </w:pPr>
      <w:r>
        <w:rPr>
          <w:bCs/>
          <w:b/>
        </w:rPr>
        <w:t xml:space="preserve">Accidental death</w:t>
      </w:r>
      <w:r>
        <w:t xml:space="preserve">: accidental death benefits generally cover death by external, violent, and</w:t>
      </w:r>
      <w:r>
        <w:t xml:space="preserve"> </w:t>
      </w:r>
      <w:r>
        <w:t xml:space="preserve">accidental means; exclusions for war and aviation may be invoked.</w:t>
      </w:r>
    </w:p>
    <w:p>
      <w:pPr>
        <w:pStyle w:val="BodyText"/>
      </w:pPr>
      <w:r>
        <w:rPr>
          <w:bCs/>
          <w:b/>
        </w:rPr>
        <w:t xml:space="preserve">Specialty products</w:t>
      </w:r>
      <w:r>
        <w:t xml:space="preserve">:</w:t>
      </w:r>
      <w:r>
        <w:t xml:space="preserve"> </w:t>
      </w:r>
      <w:r>
        <w:t xml:space="preserve">“</w:t>
      </w:r>
      <w:r>
        <w:t xml:space="preserve">alien abduction</w:t>
      </w:r>
      <w:r>
        <w:t xml:space="preserve">”</w:t>
      </w:r>
      <w:r>
        <w:t xml:space="preserve"> </w:t>
      </w:r>
      <w:r>
        <w:t xml:space="preserve">policies have been sold as novelties; their terms would be enforced as</w:t>
      </w:r>
      <w:r>
        <w:t xml:space="preserve"> </w:t>
      </w:r>
      <w:r>
        <w:t xml:space="preserve">written.</w:t>
      </w:r>
    </w:p>
    <w:bookmarkEnd w:id="31"/>
    <w:bookmarkStart w:id="32" w:name="drafting-and-market-response"/>
    <w:p>
      <w:pPr>
        <w:pStyle w:val="Heading2"/>
      </w:pPr>
      <w:r>
        <w:t xml:space="preserve">6. Drafting and market response</w:t>
      </w:r>
    </w:p>
    <w:p>
      <w:pPr>
        <w:pStyle w:val="FirstParagraph"/>
      </w:pPr>
      <w:r>
        <w:rPr>
          <w:bCs/>
          <w:b/>
        </w:rPr>
        <w:t xml:space="preserve">Market response</w:t>
      </w:r>
      <w:r>
        <w:t xml:space="preserve">: insurers may add express UAP or NHI exclusions after disclosure. Policyholders should review</w:t>
      </w:r>
      <w:r>
        <w:t xml:space="preserve"> </w:t>
      </w:r>
      <w:r>
        <w:t xml:space="preserve">renewals.</w:t>
      </w:r>
    </w:p>
    <w:bookmarkEnd w:id="32"/>
    <w:bookmarkStart w:id="33" w:name="practice-points"/>
    <w:p>
      <w:pPr>
        <w:pStyle w:val="Heading2"/>
      </w:pPr>
      <w:r>
        <w:t xml:space="preserve">7. Practice points</w:t>
      </w:r>
    </w:p>
    <w:p>
      <w:pPr>
        <w:pStyle w:val="Compact"/>
        <w:numPr>
          <w:ilvl w:val="0"/>
          <w:numId w:val="1003"/>
        </w:numPr>
      </w:pPr>
      <w:r>
        <w:t xml:space="preserve">Review force majeure clauses in long-term contracts (aerospace, energy, telecommunications, events) for</w:t>
      </w:r>
      <w:r>
        <w:t xml:space="preserve"> </w:t>
      </w:r>
      <w:r>
        <w:t xml:space="preserve">language covering government actions, airspace closures, and</w:t>
      </w:r>
      <w:r>
        <w:t xml:space="preserve"> </w:t>
      </w:r>
      <w:r>
        <w:t xml:space="preserve">“</w:t>
      </w:r>
      <w:r>
        <w:t xml:space="preserve">unknown</w:t>
      </w:r>
      <w:r>
        <w:t xml:space="preserve">”</w:t>
      </w:r>
      <w:r>
        <w:t xml:space="preserve"> </w:t>
      </w:r>
      <w:r>
        <w:t xml:space="preserve">causes; consider adding express</w:t>
      </w:r>
      <w:r>
        <w:t xml:space="preserve"> </w:t>
      </w:r>
      <w:r>
        <w:t xml:space="preserve">provisions.</w:t>
      </w:r>
    </w:p>
    <w:p>
      <w:pPr>
        <w:pStyle w:val="Compact"/>
        <w:numPr>
          <w:ilvl w:val="0"/>
          <w:numId w:val="1003"/>
        </w:numPr>
      </w:pPr>
      <w:r>
        <w:t xml:space="preserve">Review insurance programs for war, hostile action, and government action exclusions; consider buy-backs.</w:t>
      </w:r>
    </w:p>
    <w:p>
      <w:pPr>
        <w:pStyle w:val="Compact"/>
        <w:numPr>
          <w:ilvl w:val="0"/>
          <w:numId w:val="1003"/>
        </w:numPr>
      </w:pPr>
      <w:r>
        <w:t xml:space="preserve">After any loss involving a UAP, give prompt notice and preserve evidence (Forms D4-1, E3-1).</w:t>
      </w:r>
    </w:p>
    <w:p>
      <w:pPr>
        <w:pStyle w:val="Compact"/>
        <w:numPr>
          <w:ilvl w:val="0"/>
          <w:numId w:val="1003"/>
        </w:numPr>
      </w:pPr>
      <w:r>
        <w:t xml:space="preserve">For insurers, draft any new exclusions precisely (define</w:t>
      </w:r>
      <w:r>
        <w:t xml:space="preserve"> </w:t>
      </w:r>
      <w:r>
        <w:t xml:space="preserve">“</w:t>
      </w:r>
      <w:r>
        <w:t xml:space="preserve">unidentified anomalous phenomena</w:t>
      </w:r>
      <w:r>
        <w:t xml:space="preserve">”</w:t>
      </w:r>
      <w:r>
        <w:t xml:space="preserve"> </w:t>
      </w:r>
      <w:r>
        <w:t xml:space="preserve">by reference to 50</w:t>
      </w:r>
      <w:r>
        <w:t xml:space="preserve"> </w:t>
      </w:r>
      <w:r>
        <w:t xml:space="preserve">U.S.C. §3373(n)(8) or by functional description) to avoid ambiguity construed against the drafter.</w:t>
      </w:r>
    </w:p>
    <w:bookmarkEnd w:id="33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Insurance and Contract Risk After UAP Disclosure: Force Majeure, Exclusions,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7" Type="http://schemas.openxmlformats.org/officeDocument/2006/relationships/hyperlink" Target="https://nhilaw.com/issues/e3.html" TargetMode="External"/><Relationship Id="rId24" Type="http://schemas.openxmlformats.org/officeDocument/2006/relationships/hyperlink" Target="https://nhilaw.com/issues/f1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7" Type="http://schemas.openxmlformats.org/officeDocument/2006/relationships/hyperlink" Target="https://nhilaw.com/issues/e3.html" TargetMode="External"/><Relationship Id="rId24" Type="http://schemas.openxmlformats.org/officeDocument/2006/relationships/hyperlink" Target="https://nhilaw.com/issues/f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and Contract Risk After UAP Disclosure: Force Majeure, Exclusions, and Coverage</dc:title>
  <dc:creator>nhilaw.com</dc:creator>
  <cp:keywords/>
  <dcterms:created xsi:type="dcterms:W3CDTF">2026-10-19T03:14:22Z</dcterms:created>
  <dcterms:modified xsi:type="dcterms:W3CDTF">2026-10-19T03:14:22Z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nhilaw.com/issues/e5.html</vt:lpwstr>
  </property>
</Properties>
</file>