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8" w:name="X07393b1819eb6e4e07cab2419bb2bef462d2561"/>
    <w:p>
      <w:pPr>
        <w:pStyle w:val="Heading1"/>
      </w:pPr>
      <w:r>
        <w:t xml:space="preserve">Form E6-1. Inventor Provenance Questionnaire and Counsel’s Filing Memorandum (NHI-Derived Subject Matter)</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https://nhilaw.com/forms/e6-1.html</w:t>
      </w:r>
    </w:p>
    <w:p>
      <w:pPr>
        <w:pStyle w:val="BodyText"/>
        <w:spacing w:after="160" w:line="259" w:lineRule="auto"/>
      </w:pPr>
      <w:r>
        <w:rPr>
          <w:bCs/>
          <w:b/>
        </w:rPr>
        <w:t xml:space="preserve">Use.</w:t>
      </w:r>
      <w:r>
        <w:t xml:space="preserve"> </w:t>
      </w:r>
      <w:hyperlink r:id="rId20">
        <w:r>
          <w:rPr>
            <w:rStyle w:val="Hyperlink"/>
          </w:rPr>
          <w:t xml:space="preserve">Issue E6</w:t>
        </w:r>
      </w:hyperlink>
      <w:r>
        <w:t xml:space="preserve"> </w:t>
      </w:r>
      <w:r>
        <w:t xml:space="preserve">concludes that a person who reproduces or transcribes a design conceived by a non-human</w:t>
      </w:r>
      <w:r>
        <w:t xml:space="preserve"> </w:t>
      </w:r>
      <w:r>
        <w:t xml:space="preserve">intelligence is not its</w:t>
      </w:r>
      <w:r>
        <w:t xml:space="preserve"> </w:t>
      </w:r>
      <w:r>
        <w:t xml:space="preserve">“</w:t>
      </w:r>
      <w:r>
        <w:t xml:space="preserve">original inventor</w:t>
      </w:r>
      <w:r>
        <w:t xml:space="preserve">”</w:t>
      </w:r>
      <w:r>
        <w:t xml:space="preserve"> </w:t>
      </w:r>
      <w:r>
        <w:t xml:space="preserve">under 35 U.S.C. §115(b)(2), that no one may be named for subject</w:t>
      </w:r>
      <w:r>
        <w:t xml:space="preserve"> </w:t>
      </w:r>
      <w:r>
        <w:t xml:space="preserve">matter conceived only by an NHI (</w:t>
      </w:r>
      <w:r>
        <w:rPr>
          <w:iCs/>
          <w:i/>
        </w:rPr>
        <w:t xml:space="preserve">Thaler v. Vidal</w:t>
      </w:r>
      <w:r>
        <w:t xml:space="preserve">, 43 F.4th 1207 (Fed. Cir. 2022)), and that a willful false</w:t>
      </w:r>
      <w:r>
        <w:t xml:space="preserve"> </w:t>
      </w:r>
      <w:r>
        <w:t xml:space="preserve">declaration is punishable under 18 U.S.C. §1001 (§115(i)). A human who conceives a new device after learning from</w:t>
      </w:r>
      <w:r>
        <w:t xml:space="preserve"> </w:t>
      </w:r>
      <w:r>
        <w:t xml:space="preserve">NHI technology may be an inventor of that device, as with inventions made using artificial intelligence (Revised</w:t>
      </w:r>
      <w:r>
        <w:t xml:space="preserve"> </w:t>
      </w:r>
      <w:r>
        <w:t xml:space="preserve">Inventorship Guidance for AI-Assisted Inventions, 90 Fed. Reg. 54636 (Nov. 28, 2025)). This questionnaire</w:t>
      </w:r>
      <w:r>
        <w:t xml:space="preserve"> </w:t>
      </w:r>
      <w:r>
        <w:t xml:space="preserve">separates the two for each claim limitation, and the memorandum records counsel’s conclusion.</w:t>
      </w:r>
    </w:p>
    <w:p>
      <w:pPr>
        <w:pStyle w:val="BodyText"/>
        <w:spacing w:after="160" w:line="259" w:lineRule="auto"/>
      </w:pPr>
      <w:r>
        <w:rPr>
          <w:bCs/>
          <w:b/>
        </w:rPr>
        <w:t xml:space="preserve">Security warning.</w:t>
      </w:r>
      <w:r>
        <w:t xml:space="preserve"> </w:t>
      </w:r>
      <w:r>
        <w:t xml:space="preserve">Do not record classified information on this form. If the answers would require classified</w:t>
      </w:r>
      <w:r>
        <w:t xml:space="preserve"> </w:t>
      </w:r>
      <w:r>
        <w:t xml:space="preserve">information, stop, notify the inventor’s security officer, and complete the review through cleared counsel in an</w:t>
      </w:r>
      <w:r>
        <w:t xml:space="preserve"> </w:t>
      </w:r>
      <w:r>
        <w:t xml:space="preserve">approved facility. A</w:t>
      </w:r>
      <w:r>
        <w:t xml:space="preserve"> </w:t>
      </w:r>
      <w:r>
        <w:t xml:space="preserve">“</w:t>
      </w:r>
      <w:r>
        <w:t xml:space="preserve">yes</w:t>
      </w:r>
      <w:r>
        <w:t xml:space="preserve">”</w:t>
      </w:r>
      <w:r>
        <w:t xml:space="preserve"> </w:t>
      </w:r>
      <w:r>
        <w:t xml:space="preserve">answer to Part B, question 1, ordinarily means the application must first go through</w:t>
      </w:r>
      <w:r>
        <w:t xml:space="preserve"> </w:t>
      </w:r>
      <w:r>
        <w:t xml:space="preserve">the employer’s security and patent review and will likely draw a secrecy order (</w:t>
      </w:r>
      <w:hyperlink r:id="rId21">
        <w:r>
          <w:rPr>
            <w:rStyle w:val="Hyperlink"/>
          </w:rPr>
          <w:t xml:space="preserve">Issue E2</w:t>
        </w:r>
      </w:hyperlink>
      <w:r>
        <w:t xml:space="preserve">).</w:t>
      </w:r>
    </w:p>
    <w:p>
      <w:pPr>
        <w:pStyle w:val="BodyText"/>
        <w:spacing w:after="160" w:line="259" w:lineRule="auto"/>
      </w:pPr>
      <w:r>
        <w:rPr>
          <w:bCs/>
          <w:b/>
        </w:rPr>
        <w:t xml:space="preserve">When to use.</w:t>
      </w:r>
      <w:r>
        <w:t xml:space="preserve"> </w:t>
      </w:r>
      <w:r>
        <w:t xml:space="preserve">Patent counsel before any inventor signs a declaration on technology that may draw on NHI sources.</w:t>
      </w:r>
      <w:r>
        <w:t xml:space="preserve"> </w:t>
      </w:r>
      <w:r>
        <w:rPr>
          <w:bCs/>
          <w:b/>
        </w:rPr>
        <w:t xml:space="preserve">Not for:</w:t>
      </w:r>
      <w:r>
        <w:t xml:space="preserve"> </w:t>
      </w:r>
      <w:r>
        <w:t xml:space="preserve">Ordinary inventions with no such sources.</w:t>
      </w:r>
    </w:p>
    <w:p>
      <w:pPr>
        <w:pStyle w:val="BodyText"/>
        <w:spacing w:after="160" w:line="259" w:lineRule="auto"/>
      </w:pPr>
      <w:r>
        <w:rPr>
          <w:bCs/>
          <w:b/>
        </w:rPr>
        <w:t xml:space="preserve">Deadlines.</w:t>
      </w:r>
      <w:r>
        <w:t xml:space="preserve"> </w:t>
      </w:r>
      <w:r>
        <w:t xml:space="preserve">Complete before filing; inventorship is fixed by the declarations.</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bookmarkStart w:id="22" w:name="part-a.-identification"/>
    <w:p>
      <w:pPr>
        <w:pStyle w:val="Heading2"/>
      </w:pPr>
      <w:r>
        <w:t xml:space="preserve">Part A. Identification</w:t>
      </w:r>
    </w:p>
    <w:tbl>
      <w:tblPr>
        <w:tblStyle w:val="Table"/>
        <w:tblW w:type="pct" w:w="5000"/>
        <w:jc w:val="start"/>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Response</w:t>
            </w:r>
          </w:p>
        </w:tc>
      </w:tr>
      <w:tr>
        <w:tc>
          <w:tcPr/>
          <w:p>
            <w:pPr>
              <w:pStyle w:val="Compact"/>
              <w:jc w:val="left"/>
            </w:pPr>
            <w:r>
              <w:t xml:space="preserve">Docket number / working title</w:t>
            </w:r>
          </w:p>
        </w:tc>
        <w:tc>
          <w:tcPr/>
          <w:p>
            <w:pPr>
              <w:pStyle w:val="Compact"/>
            </w:pPr>
          </w:p>
        </w:tc>
      </w:tr>
      <w:tr>
        <w:tc>
          <w:tcPr/>
          <w:p>
            <w:pPr>
              <w:pStyle w:val="Compact"/>
              <w:jc w:val="left"/>
            </w:pPr>
            <w:r>
              <w:t xml:space="preserve">Named inventor (one form per inventor)</w:t>
            </w:r>
          </w:p>
        </w:tc>
        <w:tc>
          <w:tcPr/>
          <w:p>
            <w:pPr>
              <w:pStyle w:val="Compact"/>
            </w:pPr>
          </w:p>
        </w:tc>
      </w:tr>
      <w:tr>
        <w:tc>
          <w:tcPr/>
          <w:p>
            <w:pPr>
              <w:pStyle w:val="Compact"/>
              <w:jc w:val="left"/>
            </w:pPr>
            <w:r>
              <w:t xml:space="preserve">Employer and position during the conception period</w:t>
            </w:r>
          </w:p>
        </w:tc>
        <w:tc>
          <w:tcPr/>
          <w:p>
            <w:pPr>
              <w:pStyle w:val="Compact"/>
            </w:pPr>
          </w:p>
        </w:tc>
      </w:tr>
      <w:tr>
        <w:tc>
          <w:tcPr/>
          <w:p>
            <w:pPr>
              <w:pStyle w:val="Compact"/>
              <w:jc w:val="left"/>
            </w:pPr>
            <w:r>
              <w:t xml:space="preserve">Federal contract, grant, or cooperative agreement numbers under which any work was done</w:t>
            </w:r>
          </w:p>
        </w:tc>
        <w:tc>
          <w:tcPr/>
          <w:p>
            <w:pPr>
              <w:pStyle w:val="Compact"/>
            </w:pPr>
          </w:p>
        </w:tc>
      </w:tr>
      <w:tr>
        <w:tc>
          <w:tcPr/>
          <w:p>
            <w:pPr>
              <w:pStyle w:val="Compact"/>
              <w:jc w:val="left"/>
            </w:pPr>
            <w:r>
              <w:t xml:space="preserve">Federal employee during the conception period? (yes/no; agency)</w:t>
            </w:r>
          </w:p>
        </w:tc>
        <w:tc>
          <w:tcPr/>
          <w:p>
            <w:pPr>
              <w:pStyle w:val="Compact"/>
            </w:pPr>
          </w:p>
        </w:tc>
      </w:tr>
      <w:tr>
        <w:tc>
          <w:tcPr/>
          <w:p>
            <w:pPr>
              <w:pStyle w:val="Compact"/>
              <w:jc w:val="left"/>
            </w:pPr>
            <w:r>
              <w:t xml:space="preserve">Date range of conception, with supporting records (notebooks, files, emails)</w:t>
            </w:r>
          </w:p>
        </w:tc>
        <w:tc>
          <w:tcPr/>
          <w:p>
            <w:pPr>
              <w:pStyle w:val="Compact"/>
            </w:pPr>
          </w:p>
        </w:tc>
      </w:tr>
    </w:tbl>
    <w:bookmarkEnd w:id="22"/>
    <w:bookmarkStart w:id="23" w:name="part-b.-access-and-sources"/>
    <w:p>
      <w:pPr>
        <w:pStyle w:val="Heading2"/>
      </w:pPr>
      <w:r>
        <w:t xml:space="preserve">Part B. Access and sources</w:t>
      </w:r>
    </w:p>
    <w:p>
      <w:pPr>
        <w:pStyle w:val="FirstParagraph"/>
      </w:pPr>
      <w:r>
        <w:t xml:space="preserve">Answer yes or no; explain every</w:t>
      </w:r>
      <w:r>
        <w:t xml:space="preserve"> </w:t>
      </w:r>
      <w:r>
        <w:t xml:space="preserve">“</w:t>
      </w:r>
      <w:r>
        <w:t xml:space="preserve">yes</w:t>
      </w:r>
      <w:r>
        <w:t xml:space="preserve">”</w:t>
      </w:r>
      <w:r>
        <w:t xml:space="preserve"> </w:t>
      </w:r>
      <w:r>
        <w:t xml:space="preserve">in an attachment kept in counsel’s privileged file.</w:t>
      </w:r>
    </w:p>
    <w:p>
      <w:pPr>
        <w:pStyle w:val="Compact"/>
        <w:numPr>
          <w:ilvl w:val="0"/>
          <w:numId w:val="1001"/>
        </w:numPr>
      </w:pPr>
      <w:r>
        <w:t xml:space="preserve">During or before the conception period, did you have access to any object, material, data, or document that</w:t>
      </w:r>
      <w:r>
        <w:t xml:space="preserve"> </w:t>
      </w:r>
      <w:r>
        <w:t xml:space="preserve">you understood to be, or to describe, technology of unknown or non-human origin (including material associated</w:t>
      </w:r>
      <w:r>
        <w:t xml:space="preserve"> </w:t>
      </w:r>
      <w:r>
        <w:t xml:space="preserve">with unidentified anomalous phenomena)?</w:t>
      </w:r>
    </w:p>
    <w:p>
      <w:pPr>
        <w:pStyle w:val="Compact"/>
        <w:numPr>
          <w:ilvl w:val="0"/>
          <w:numId w:val="1001"/>
        </w:numPr>
      </w:pPr>
      <w:r>
        <w:t xml:space="preserve">Did you receive any information about such technology from another person, whether orally or in writing?</w:t>
      </w:r>
    </w:p>
    <w:p>
      <w:pPr>
        <w:pStyle w:val="Compact"/>
        <w:numPr>
          <w:ilvl w:val="0"/>
          <w:numId w:val="1001"/>
        </w:numPr>
      </w:pPr>
      <w:r>
        <w:t xml:space="preserve">Do you attribute any idea in the application to communication with a non-human intelligence, by any means?</w:t>
      </w:r>
    </w:p>
    <w:p>
      <w:pPr>
        <w:pStyle w:val="Compact"/>
        <w:numPr>
          <w:ilvl w:val="0"/>
          <w:numId w:val="1001"/>
        </w:numPr>
      </w:pPr>
      <w:r>
        <w:t xml:space="preserve">Did you sign any nondisclosure agreement, special access program indoctrination, or contractor agreement that</w:t>
      </w:r>
      <w:r>
        <w:t xml:space="preserve"> </w:t>
      </w:r>
      <w:r>
        <w:t xml:space="preserve">covers the subject matter of the application?</w:t>
      </w:r>
    </w:p>
    <w:p>
      <w:pPr>
        <w:pStyle w:val="Compact"/>
        <w:numPr>
          <w:ilvl w:val="0"/>
          <w:numId w:val="1001"/>
        </w:numPr>
      </w:pPr>
      <w:r>
        <w:t xml:space="preserve">Did you use any government facility, equipment, material, funds, or information in developing the</w:t>
      </w:r>
      <w:r>
        <w:t xml:space="preserve"> </w:t>
      </w:r>
      <w:r>
        <w:t xml:space="preserve">subject matter?</w:t>
      </w:r>
    </w:p>
    <w:bookmarkEnd w:id="23"/>
    <w:bookmarkStart w:id="24" w:name="Xa6682d2ee9a52c96152b28e4faa0f12ad8314e8"/>
    <w:p>
      <w:pPr>
        <w:pStyle w:val="Heading2"/>
      </w:pPr>
      <w:r>
        <w:t xml:space="preserve">Part C. Claim-by-claim contribution table</w:t>
      </w:r>
    </w:p>
    <w:p>
      <w:pPr>
        <w:pStyle w:val="FirstParagraph"/>
      </w:pPr>
      <w:r>
        <w:t xml:space="preserve">Counsel completes this table with the inventor after the claims are drafted.</w:t>
      </w:r>
    </w:p>
    <w:tbl>
      <w:tblPr>
        <w:tblStyle w:val="Table"/>
        <w:tblW w:type="pct" w:w="5000"/>
        <w:jc w:val="start"/>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Claim</w:t>
            </w:r>
          </w:p>
        </w:tc>
        <w:tc>
          <w:tcPr/>
          <w:p>
            <w:pPr>
              <w:pStyle w:val="Compact"/>
              <w:jc w:val="left"/>
            </w:pPr>
            <w:r>
              <w:t xml:space="preserve">Limitation</w:t>
            </w:r>
          </w:p>
        </w:tc>
        <w:tc>
          <w:tcPr/>
          <w:p>
            <w:pPr>
              <w:pStyle w:val="Compact"/>
              <w:jc w:val="left"/>
            </w:pPr>
            <w:r>
              <w:t xml:space="preserve">Who first had the idea of this limitation, and when?</w:t>
            </w:r>
          </w:p>
        </w:tc>
        <w:tc>
          <w:tcPr/>
          <w:p>
            <w:pPr>
              <w:pStyle w:val="Compact"/>
              <w:jc w:val="left"/>
            </w:pPr>
            <w:r>
              <w:t xml:space="preserve">Was this limitation observed in, measured from, or described in any source in Part B?</w:t>
            </w:r>
          </w:p>
        </w:tc>
        <w:tc>
          <w:tcPr/>
          <w:p>
            <w:pPr>
              <w:pStyle w:val="Compact"/>
              <w:jc w:val="left"/>
            </w:pPr>
            <w:r>
              <w:t xml:space="preserve">Record of the human’s own conception (cite document)</w:t>
            </w:r>
          </w:p>
        </w:tc>
      </w:tr>
      <w:tr>
        <w:tc>
          <w:tcPr/>
          <w:p>
            <w:pPr>
              <w:pStyle w:val="Compact"/>
              <w:jc w:val="left"/>
            </w:pPr>
            <w:r>
              <w:t xml:space="preserve">1</w:t>
            </w:r>
          </w:p>
        </w:tc>
        <w:tc>
          <w:tcPr/>
          <w:p>
            <w:pPr>
              <w:pStyle w:val="Compact"/>
              <w:jc w:val="left"/>
            </w:pPr>
            <w:r>
              <w:t xml:space="preserve">[a]</w:t>
            </w:r>
          </w:p>
        </w:tc>
        <w:tc>
          <w:tcPr/>
          <w:p>
            <w:pPr>
              <w:pStyle w:val="Compact"/>
            </w:pPr>
          </w:p>
        </w:tc>
        <w:tc>
          <w:tcPr/>
          <w:p>
            <w:pPr>
              <w:pStyle w:val="Compact"/>
            </w:pPr>
          </w:p>
        </w:tc>
        <w:tc>
          <w:tcPr/>
          <w:p>
            <w:pPr>
              <w:pStyle w:val="Compact"/>
            </w:pPr>
          </w:p>
        </w:tc>
      </w:tr>
      <w:tr>
        <w:tc>
          <w:tcPr/>
          <w:p>
            <w:pPr>
              <w:pStyle w:val="Compact"/>
              <w:jc w:val="left"/>
            </w:pPr>
            <w:r>
              <w:t xml:space="preserve">1</w:t>
            </w:r>
          </w:p>
        </w:tc>
        <w:tc>
          <w:tcPr/>
          <w:p>
            <w:pPr>
              <w:pStyle w:val="Compact"/>
              <w:jc w:val="left"/>
            </w:pPr>
            <w:r>
              <w:t xml:space="preserve">[b]</w:t>
            </w:r>
          </w:p>
        </w:tc>
        <w:tc>
          <w:tcPr/>
          <w:p>
            <w:pPr>
              <w:pStyle w:val="Compact"/>
            </w:pPr>
          </w:p>
        </w:tc>
        <w:tc>
          <w:tcPr/>
          <w:p>
            <w:pPr>
              <w:pStyle w:val="Compact"/>
            </w:pPr>
          </w:p>
        </w:tc>
        <w:tc>
          <w:tcPr/>
          <w:p>
            <w:pPr>
              <w:pStyle w:val="Compact"/>
            </w:pPr>
          </w:p>
        </w:tc>
      </w:tr>
      <w:tr>
        <w:tc>
          <w:tcPr/>
          <w:p>
            <w:pPr>
              <w:pStyle w:val="Compact"/>
              <w:jc w:val="left"/>
            </w:pPr>
            <w:r>
              <w:t xml:space="preserve">…</w:t>
            </w:r>
          </w:p>
        </w:tc>
        <w:tc>
          <w:tcPr/>
          <w:p>
            <w:pPr>
              <w:pStyle w:val="Compact"/>
            </w:pPr>
          </w:p>
        </w:tc>
        <w:tc>
          <w:tcPr/>
          <w:p>
            <w:pPr>
              <w:pStyle w:val="Compact"/>
            </w:pPr>
          </w:p>
        </w:tc>
        <w:tc>
          <w:tcPr/>
          <w:p>
            <w:pPr>
              <w:pStyle w:val="Compact"/>
            </w:pPr>
          </w:p>
        </w:tc>
        <w:tc>
          <w:tcPr/>
          <w:p>
            <w:pPr>
              <w:pStyle w:val="Compact"/>
            </w:pPr>
          </w:p>
        </w:tc>
      </w:tr>
    </w:tbl>
    <w:bookmarkEnd w:id="24"/>
    <w:bookmarkStart w:id="25" w:name="part-d.-inventors-acknowledgment"/>
    <w:p>
      <w:pPr>
        <w:pStyle w:val="Heading2"/>
      </w:pPr>
      <w:r>
        <w:t xml:space="preserve">Part D. Inventor’s acknowledgment</w:t>
      </w:r>
    </w:p>
    <w:p>
      <w:pPr>
        <w:pStyle w:val="FirstParagraph"/>
      </w:pPr>
      <w:r>
        <w:t xml:space="preserve">I have answered the questions above truthfully and completely to the best of my knowledge. I understand that I</w:t>
      </w:r>
      <w:r>
        <w:t xml:space="preserve"> </w:t>
      </w:r>
      <w:r>
        <w:t xml:space="preserve">may be named as an inventor only for subject matter that I conceived, alone or with other named persons; that</w:t>
      </w:r>
      <w:r>
        <w:t xml:space="preserve"> </w:t>
      </w:r>
      <w:r>
        <w:t xml:space="preserve">subject matter I learned from an object, document, or communication of non-human origin is not my invention; and</w:t>
      </w:r>
      <w:r>
        <w:t xml:space="preserve"> </w:t>
      </w:r>
      <w:r>
        <w:t xml:space="preserve">that a willful false statement in an inventorship declaration is punishable under 18 U.S.C. §1001.</w:t>
      </w:r>
    </w:p>
    <w:p>
      <w:pPr>
        <w:pStyle w:val="BodyText"/>
      </w:pPr>
      <w:r>
        <w:t xml:space="preserve">Signature: ____________________ Date: __________</w:t>
      </w:r>
    </w:p>
    <w:p>
      <w:pPr>
        <w:pStyle w:val="BodyText"/>
      </w:pPr>
      <w:r>
        <w:br w:type="page"/>
      </w:r>
    </w:p>
    <w:bookmarkEnd w:id="25"/>
    <w:bookmarkStart w:id="26" w:name="X5e92fd9d9a80076a0134e6433d41f51f0f9a147"/>
    <w:p>
      <w:pPr>
        <w:pStyle w:val="Heading2"/>
      </w:pPr>
      <w:r>
        <w:t xml:space="preserve">Counsel’s filing memorandum (privileged and confidential; attorney work product)</w:t>
      </w:r>
    </w:p>
    <w:p>
      <w:pPr>
        <w:pStyle w:val="FirstParagraph"/>
      </w:pPr>
      <w:r>
        <w:rPr>
          <w:bCs/>
          <w:b/>
        </w:rPr>
        <w:t xml:space="preserve">To:</w:t>
      </w:r>
      <w:r>
        <w:t xml:space="preserve"> </w:t>
      </w:r>
      <w:r>
        <w:t xml:space="preserve">File [docket no.]</w:t>
      </w:r>
      <w:r>
        <w:t xml:space="preserve"> </w:t>
      </w:r>
      <w:r>
        <w:rPr>
          <w:bCs/>
          <w:b/>
        </w:rPr>
        <w:t xml:space="preserve">From:</w:t>
      </w:r>
      <w:r>
        <w:t xml:space="preserve"> </w:t>
      </w:r>
      <w:r>
        <w:t xml:space="preserve">[Patent counsel]</w:t>
      </w:r>
      <w:r>
        <w:t xml:space="preserve"> </w:t>
      </w:r>
      <w:r>
        <w:rPr>
          <w:bCs/>
          <w:b/>
        </w:rPr>
        <w:t xml:space="preserve">Date:</w:t>
      </w:r>
      <w:r>
        <w:t xml:space="preserve"> </w:t>
      </w:r>
      <w:r>
        <w:t xml:space="preserve">[__]</w:t>
      </w:r>
    </w:p>
    <w:p>
      <w:pPr>
        <w:pStyle w:val="BodyText"/>
      </w:pPr>
      <w:r>
        <w:rPr>
          <w:bCs/>
          <w:b/>
        </w:rPr>
        <w:t xml:space="preserve">1. Questionnaire results.</w:t>
      </w:r>
      <w:r>
        <w:t xml:space="preserve"> </w:t>
      </w:r>
      <w:r>
        <w:t xml:space="preserve">[Summarize Part B answers for each inventor.]</w:t>
      </w:r>
    </w:p>
    <w:p>
      <w:pPr>
        <w:pStyle w:val="BodyText"/>
      </w:pPr>
      <w:r>
        <w:rPr>
          <w:bCs/>
          <w:b/>
        </w:rPr>
        <w:t xml:space="preserve">2. Inventorship analysis.</w:t>
      </w:r>
      <w:r>
        <w:t xml:space="preserve"> </w:t>
      </w:r>
      <w:r>
        <w:t xml:space="preserve">For each independent claim, state whether every limitation was conceived by a named</w:t>
      </w:r>
      <w:r>
        <w:t xml:space="preserve"> </w:t>
      </w:r>
      <w:r>
        <w:t xml:space="preserve">inventor. Apply the conception standard (</w:t>
      </w:r>
      <w:r>
        <w:t xml:space="preserve">“</w:t>
      </w:r>
      <w:r>
        <w:t xml:space="preserve">a definite and permanent idea of the complete and operative invention,</w:t>
      </w:r>
      <w:r>
        <w:t xml:space="preserve">”</w:t>
      </w:r>
      <w:r>
        <w:t xml:space="preserve"> </w:t>
      </w:r>
      <w:r>
        <w:rPr>
          <w:iCs/>
          <w:i/>
        </w:rPr>
        <w:t xml:space="preserve">Burroughs Wellcome Co. v. Barr Labs., Inc.</w:t>
      </w:r>
      <w:r>
        <w:t xml:space="preserve">, 40 F.3d 1223, 1228 (Fed. Cir. 1994)) and the rule that inventors may</w:t>
      </w:r>
      <w:r>
        <w:t xml:space="preserve"> </w:t>
      </w:r>
      <w:r>
        <w:t xml:space="preserve">use</w:t>
      </w:r>
      <w:r>
        <w:t xml:space="preserve"> </w:t>
      </w:r>
      <w:r>
        <w:t xml:space="preserve">“</w:t>
      </w:r>
      <w:r>
        <w:t xml:space="preserve">the services, ideas, and aid of others</w:t>
      </w:r>
      <w:r>
        <w:t xml:space="preserve">”</w:t>
      </w:r>
      <w:r>
        <w:t xml:space="preserve"> </w:t>
      </w:r>
      <w:r>
        <w:t xml:space="preserve">without those sources becoming inventors (</w:t>
      </w:r>
      <w:r>
        <w:rPr>
          <w:iCs/>
          <w:i/>
        </w:rPr>
        <w:t xml:space="preserve">Hess v. Advanced</w:t>
      </w:r>
      <w:r>
        <w:rPr>
          <w:iCs/>
          <w:i/>
        </w:rPr>
        <w:t xml:space="preserve"> </w:t>
      </w:r>
      <w:r>
        <w:rPr>
          <w:iCs/>
          <w:i/>
        </w:rPr>
        <w:t xml:space="preserve">Cardiovascular Sys., Inc.</w:t>
      </w:r>
      <w:r>
        <w:t xml:space="preserve">, 106 F.3d 976, 981 (Fed. Cir. 1997)). Identify any limitation that was observed in or</w:t>
      </w:r>
      <w:r>
        <w:t xml:space="preserve"> </w:t>
      </w:r>
      <w:r>
        <w:t xml:space="preserve">taken from a Part B source.</w:t>
      </w:r>
    </w:p>
    <w:p>
      <w:pPr>
        <w:pStyle w:val="BodyText"/>
      </w:pPr>
      <w:r>
        <w:rPr>
          <w:bCs/>
          <w:b/>
        </w:rPr>
        <w:t xml:space="preserve">3. Decision.</w:t>
      </w:r>
      <w:r>
        <w:t xml:space="preserve"> </w:t>
      </w:r>
      <w:r>
        <w:t xml:space="preserve">[Choose one.]</w:t>
      </w:r>
      <w:r>
        <w:t xml:space="preserve"> </w:t>
      </w:r>
      <w:r>
        <w:t xml:space="preserve">- [ ] No Part B source contributed to any claim limitation. File.</w:t>
      </w:r>
      <w:r>
        <w:t xml:space="preserve"> </w:t>
      </w:r>
      <w:r>
        <w:t xml:space="preserve">- [ ] Part B sources informed the work, but every claim limitation was conceived by a named inventor, as</w:t>
      </w:r>
      <w:r>
        <w:t xml:space="preserve"> </w:t>
      </w:r>
      <w:r>
        <w:t xml:space="preserve">documented in Part C. File with the claims as drafted.</w:t>
      </w:r>
      <w:r>
        <w:t xml:space="preserve"> </w:t>
      </w:r>
      <w:r>
        <w:t xml:space="preserve">- [ ] One or more limitations came from a Part B source. Claims [__] amended to remove them, or cancelled. File the</w:t>
      </w:r>
      <w:r>
        <w:t xml:space="preserve"> </w:t>
      </w:r>
      <w:r>
        <w:t xml:space="preserve">remaining claims.</w:t>
      </w:r>
      <w:r>
        <w:t xml:space="preserve"> </w:t>
      </w:r>
      <w:r>
        <w:t xml:space="preserve">- [ ] The subject matter as a whole came from a Part B source. Do not file. Advise the client in writing.</w:t>
      </w:r>
    </w:p>
    <w:p>
      <w:pPr>
        <w:pStyle w:val="BodyText"/>
      </w:pPr>
      <w:r>
        <w:rPr>
          <w:bCs/>
          <w:b/>
        </w:rPr>
        <w:t xml:space="preserve">4. Security and ownership.</w:t>
      </w:r>
      <w:r>
        <w:t xml:space="preserve"> </w:t>
      </w:r>
      <w:r>
        <w:t xml:space="preserve">[Security office review completed on (date) / not required.] [Government rights:</w:t>
      </w:r>
      <w:r>
        <w:t xml:space="preserve"> </w:t>
      </w:r>
      <w:r>
        <w:t xml:space="preserve">subject invention under 35 U.S.C. §201 / NASA, 51 U.S.C. §20135 / federal employee, 37 C.F.R. §501.6 / none.]</w:t>
      </w:r>
    </w:p>
    <w:p>
      <w:pPr>
        <w:pStyle w:val="BodyText"/>
      </w:pPr>
      <w:r>
        <w:rPr>
          <w:bCs/>
          <w:b/>
        </w:rPr>
        <w:t xml:space="preserve">4A. Operability and enablement.</w:t>
      </w:r>
      <w:r>
        <w:t xml:space="preserve"> </w:t>
      </w:r>
      <w:r>
        <w:t xml:space="preserve">[For any claim whose operating principle is not explained by accepted</w:t>
      </w:r>
      <w:r>
        <w:t xml:space="preserve"> </w:t>
      </w:r>
      <w:r>
        <w:t xml:space="preserve">science:] State the evidence that the device works as claimed and that the specification enables a skilled person</w:t>
      </w:r>
      <w:r>
        <w:t xml:space="preserve"> </w:t>
      </w:r>
      <w:r>
        <w:t xml:space="preserve">to make and use it: [test reports, with laboratory, dates, methods, measured results, and uncertainty; independent</w:t>
      </w:r>
      <w:r>
        <w:t xml:space="preserve"> </w:t>
      </w:r>
      <w:r>
        <w:t xml:space="preserve">replication; models showing the claimed effect]. Examiners reject claims that appear to violate accepted physics</w:t>
      </w:r>
      <w:r>
        <w:t xml:space="preserve"> </w:t>
      </w:r>
      <w:r>
        <w:t xml:space="preserve">for lack of utility and enablement, and the Federal Circuit has upheld those rejections.</w:t>
      </w:r>
      <w:r>
        <w:t xml:space="preserve"> </w:t>
      </w:r>
      <w:r>
        <w:rPr>
          <w:iCs/>
          <w:i/>
        </w:rPr>
        <w:t xml:space="preserve">Newman v. Quigg</w:t>
      </w:r>
      <w:r>
        <w:t xml:space="preserve">, 877</w:t>
      </w:r>
      <w:r>
        <w:t xml:space="preserve"> </w:t>
      </w:r>
      <w:r>
        <w:t xml:space="preserve">F.2d 1575 (Fed. Cir. 1989);</w:t>
      </w:r>
      <w:r>
        <w:t xml:space="preserve"> </w:t>
      </w:r>
      <w:r>
        <w:rPr>
          <w:iCs/>
          <w:i/>
        </w:rPr>
        <w:t xml:space="preserve">In re Swartz</w:t>
      </w:r>
      <w:r>
        <w:t xml:space="preserve">, 232 F.3d 862 (Fed. Cir. 2000). If the only evidence is a Part B source,</w:t>
      </w:r>
      <w:r>
        <w:t xml:space="preserve"> </w:t>
      </w:r>
      <w:r>
        <w:t xml:space="preserve">the claim cannot be supported without disclosing that source. [Conclusion: data sufficient / obtain further testing</w:t>
      </w:r>
      <w:r>
        <w:t xml:space="preserve"> </w:t>
      </w:r>
      <w:r>
        <w:t xml:space="preserve">before filing / narrow claims to what has been demonstrated.]</w:t>
      </w:r>
    </w:p>
    <w:p>
      <w:pPr>
        <w:pStyle w:val="BodyText"/>
      </w:pPr>
      <w:r>
        <w:rPr>
          <w:bCs/>
          <w:b/>
        </w:rPr>
        <w:t xml:space="preserve">5. Duty of candor.</w:t>
      </w:r>
      <w:r>
        <w:t xml:space="preserve"> </w:t>
      </w:r>
      <w:r>
        <w:t xml:space="preserve">Counsel has considered 37 C.F.R. §1.56 and whether any information about the sources in</w:t>
      </w:r>
      <w:r>
        <w:t xml:space="preserve"> </w:t>
      </w:r>
      <w:r>
        <w:t xml:space="preserve">Part B is material to patentability, including to inventorship. [Conclusion.]</w:t>
      </w:r>
    </w:p>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End w:id="26"/>
    <w:bookmarkStart w:id="27" w:name="drafting-notes"/>
    <w:p>
      <w:pPr>
        <w:pStyle w:val="Heading2"/>
      </w:pPr>
      <w:r>
        <w:t xml:space="preserve">Drafting notes</w:t>
      </w:r>
    </w:p>
    <w:p>
      <w:pPr>
        <w:pStyle w:val="Compact"/>
        <w:numPr>
          <w:ilvl w:val="0"/>
          <w:numId w:val="1002"/>
        </w:numPr>
      </w:pPr>
      <w:r>
        <w:rPr>
          <w:bCs/>
          <w:b/>
        </w:rPr>
        <w:t xml:space="preserve">Why claim by claim.</w:t>
      </w:r>
      <w:r>
        <w:t xml:space="preserve"> </w:t>
      </w:r>
      <w:r>
        <w:t xml:space="preserve">Inventorship is determined for each claim, and the common case is a mix of human and</w:t>
      </w:r>
      <w:r>
        <w:t xml:space="preserve"> </w:t>
      </w:r>
      <w:r>
        <w:t xml:space="preserve">non-human contributions (</w:t>
      </w:r>
      <w:hyperlink r:id="rId20">
        <w:r>
          <w:rPr>
            <w:rStyle w:val="Hyperlink"/>
          </w:rPr>
          <w:t xml:space="preserve">Issue E6</w:t>
        </w:r>
      </w:hyperlink>
      <w:r>
        <w:t xml:space="preserve">, §2.2). Cutting the non-human limitations from the claims is usually the</w:t>
      </w:r>
      <w:r>
        <w:t xml:space="preserve"> </w:t>
      </w:r>
      <w:r>
        <w:t xml:space="preserve">answer, but only if the remaining claims still describe something the human conceived and enabled under §112.</w:t>
      </w:r>
    </w:p>
    <w:p>
      <w:pPr>
        <w:pStyle w:val="Compact"/>
        <w:numPr>
          <w:ilvl w:val="0"/>
          <w:numId w:val="1002"/>
        </w:numPr>
      </w:pPr>
      <w:r>
        <w:rPr>
          <w:bCs/>
          <w:b/>
        </w:rPr>
        <w:t xml:space="preserve">Contactee applicants.</w:t>
      </w:r>
      <w:r>
        <w:t xml:space="preserve"> </w:t>
      </w:r>
      <w:r>
        <w:t xml:space="preserve">An applicant who states in public, or in the application, that a design was received</w:t>
      </w:r>
      <w:r>
        <w:t xml:space="preserve"> </w:t>
      </w:r>
      <w:r>
        <w:t xml:space="preserve">from an NHI has made an admission against original inventorship. Advise the client before filing.</w:t>
      </w:r>
    </w:p>
    <w:p>
      <w:pPr>
        <w:pStyle w:val="Compact"/>
        <w:numPr>
          <w:ilvl w:val="0"/>
          <w:numId w:val="1002"/>
        </w:numPr>
      </w:pPr>
      <w:r>
        <w:rPr>
          <w:bCs/>
          <w:b/>
        </w:rPr>
        <w:t xml:space="preserve">Test data.</w:t>
      </w:r>
      <w:r>
        <w:t xml:space="preserve"> </w:t>
      </w:r>
      <w:r>
        <w:t xml:space="preserve">Plan testing before filing. Data obtained after filing can support utility in response to a</w:t>
      </w:r>
      <w:r>
        <w:t xml:space="preserve"> </w:t>
      </w:r>
      <w:r>
        <w:t xml:space="preserve">rejection, but enablement is judged as of the filing date, so the specification must already describe how to make</w:t>
      </w:r>
      <w:r>
        <w:t xml:space="preserve"> </w:t>
      </w:r>
      <w:r>
        <w:t xml:space="preserve">and use the device. A declaration under 37 C.F.R. §1.132 from an independent expert who ran or reviewed the tests</w:t>
      </w:r>
      <w:r>
        <w:t xml:space="preserve"> </w:t>
      </w:r>
      <w:r>
        <w:t xml:space="preserve">carries more weight than the inventor’s own statement.</w:t>
      </w:r>
    </w:p>
    <w:p>
      <w:pPr>
        <w:pStyle w:val="Compact"/>
        <w:numPr>
          <w:ilvl w:val="0"/>
          <w:numId w:val="1002"/>
        </w:numPr>
      </w:pPr>
      <w:r>
        <w:rPr>
          <w:bCs/>
          <w:b/>
        </w:rPr>
        <w:t xml:space="preserve">Records.</w:t>
      </w:r>
      <w:r>
        <w:t xml:space="preserve"> </w:t>
      </w:r>
      <w:r>
        <w:t xml:space="preserve">Contemporaneous notebooks and dated files showing the human’s own reasoning are the best evidence</w:t>
      </w:r>
      <w:r>
        <w:t xml:space="preserve"> </w:t>
      </w:r>
      <w:r>
        <w:t xml:space="preserve">if inventorship is later challenged. Keep them, and keep them separate from any classified program records.</w:t>
      </w:r>
    </w:p>
    <w:p>
      <w:pPr>
        <w:pStyle w:val="Compact"/>
        <w:numPr>
          <w:ilvl w:val="0"/>
          <w:numId w:val="1002"/>
        </w:numPr>
      </w:pPr>
      <w:r>
        <w:rPr>
          <w:bCs/>
          <w:b/>
        </w:rPr>
        <w:t xml:space="preserve">Privilege.</w:t>
      </w:r>
      <w:r>
        <w:t xml:space="preserve"> </w:t>
      </w:r>
      <w:r>
        <w:t xml:space="preserve">Keep Part B explanations and the memorandum in counsel’s file. The acknowledgment in Part D is</w:t>
      </w:r>
      <w:r>
        <w:t xml:space="preserve"> </w:t>
      </w:r>
      <w:r>
        <w:t xml:space="preserve">intended for the client’s records, not for filing with the USPTO.</w:t>
      </w:r>
    </w:p>
    <w:p>
      <w:pPr>
        <w:pStyle w:val="Compact"/>
        <w:numPr>
          <w:ilvl w:val="0"/>
          <w:numId w:val="1002"/>
        </w:numPr>
      </w:pPr>
      <w:r>
        <w:t xml:space="preserve">Related:</w:t>
      </w:r>
      <w:r>
        <w:t xml:space="preserve"> </w:t>
      </w:r>
      <w:hyperlink r:id="rId20">
        <w:r>
          <w:rPr>
            <w:rStyle w:val="Hyperlink"/>
          </w:rPr>
          <w:t xml:space="preserve">Issue E6</w:t>
        </w:r>
      </w:hyperlink>
      <w:r>
        <w:t xml:space="preserve">, E2, D2, C3; Forms E6-2, E6-3, E2-1.</w:t>
      </w:r>
    </w:p>
    <w:bookmarkEnd w:id="27"/>
    <w:bookmarkEnd w:id="28"/>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issues/e2.html" TargetMode="External"/><Relationship Id="rId20" Type="http://schemas.openxmlformats.org/officeDocument/2006/relationships/hyperlink" Target="https://nhilaw.com/issues/e6.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issues/e2.html" TargetMode="External"/><Relationship Id="rId20" Type="http://schemas.openxmlformats.org/officeDocument/2006/relationships/hyperlink" Target="https://nhilaw.com/issues/e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E6-1. Inventor Provenance Questionnaire and Counsel's Filing Memorandum (NHI-Derived Subject Matter)</dc:title>
  <dc:creator>nhilaw.com</dc:creator>
  <cp:keywords/>
  <dcterms:created xsi:type="dcterms:W3CDTF">2026-10-19T03:14:34Z</dcterms:created>
  <dcterms:modified xsi:type="dcterms:W3CDTF">2026-10-19T03:14:34Z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