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4" w:name="X61894e9804bd7e95b9d5d1c4688195537bc1541"/>
    <w:p>
      <w:pPr>
        <w:pStyle w:val="Heading1"/>
      </w:pPr>
      <w:r>
        <w:t xml:space="preserve">Form E6-2. Affirmative Defenses and Counterclaim for Declaratory Judgment: Patent Claiming NHI-Derived Subject Matter</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https://nhilaw.com/forms/e6-2.html</w:t>
      </w:r>
    </w:p>
    <w:p>
      <w:pPr>
        <w:pStyle w:val="BodyText"/>
        <w:spacing w:after="160" w:line="259" w:lineRule="auto"/>
      </w:pPr>
      <w:r>
        <w:rPr>
          <w:bCs/>
          <w:b/>
        </w:rPr>
        <w:t xml:space="preserve">Use.</w:t>
      </w:r>
      <w:r>
        <w:t xml:space="preserve"> </w:t>
      </w:r>
      <w:hyperlink r:id="rId20">
        <w:r>
          <w:rPr>
            <w:rStyle w:val="Hyperlink"/>
          </w:rPr>
          <w:t xml:space="preserve">Issue E6</w:t>
        </w:r>
      </w:hyperlink>
      <w:r>
        <w:t xml:space="preserve"> </w:t>
      </w:r>
      <w:r>
        <w:t xml:space="preserve">concludes that claims covering subject matter conceived by a non-human intelligence are</w:t>
      </w:r>
      <w:r>
        <w:t xml:space="preserve"> </w:t>
      </w:r>
      <w:r>
        <w:t xml:space="preserve">unpatentable because no named person</w:t>
      </w:r>
      <w:r>
        <w:t xml:space="preserve"> </w:t>
      </w:r>
      <w:r>
        <w:t xml:space="preserve">“</w:t>
      </w:r>
      <w:r>
        <w:t xml:space="preserve">invent[ed] or discover[ed]</w:t>
      </w:r>
      <w:r>
        <w:t xml:space="preserve">”</w:t>
      </w:r>
      <w:r>
        <w:t xml:space="preserve"> </w:t>
      </w:r>
      <w:r>
        <w:t xml:space="preserve">it (35 U.S.C. §§100(f), 101, 115), that the</w:t>
      </w:r>
      <w:r>
        <w:t xml:space="preserve"> </w:t>
      </w:r>
      <w:r>
        <w:t xml:space="preserve">defect cannot be cured by correction under §256 because no human inventor exists to substitute, and that a</w:t>
      </w:r>
      <w:r>
        <w:t xml:space="preserve"> </w:t>
      </w:r>
      <w:r>
        <w:t xml:space="preserve">willful false declaration of original inventorship can render the patent unenforceable. The pleading below</w:t>
      </w:r>
      <w:r>
        <w:t xml:space="preserve"> </w:t>
      </w:r>
      <w:r>
        <w:t xml:space="preserve">asserts those defenses and a matching counterclaim. It assumes the defendant has non-classified evidence (for</w:t>
      </w:r>
      <w:r>
        <w:t xml:space="preserve"> </w:t>
      </w:r>
      <w:r>
        <w:t xml:space="preserve">example, released government records, public testimony, or the patentee’s own statements) that the claimed</w:t>
      </w:r>
      <w:r>
        <w:t xml:space="preserve"> </w:t>
      </w:r>
      <w:r>
        <w:t xml:space="preserve">design was observed in or taken from a recovered artifact or attributed by the patentee to a non-human source.</w:t>
      </w:r>
    </w:p>
    <w:p>
      <w:pPr>
        <w:pStyle w:val="BodyText"/>
        <w:spacing w:after="160" w:line="259" w:lineRule="auto"/>
      </w:pPr>
      <w:r>
        <w:rPr>
          <w:bCs/>
          <w:b/>
        </w:rPr>
        <w:t xml:space="preserve">When to use.</w:t>
      </w:r>
      <w:r>
        <w:t xml:space="preserve"> </w:t>
      </w:r>
      <w:r>
        <w:t xml:space="preserve">A defendant in a patent infringement suit who believes the patent claims NHI-derived subject matter.</w:t>
      </w:r>
      <w:r>
        <w:t xml:space="preserve"> </w:t>
      </w:r>
      <w:r>
        <w:rPr>
          <w:bCs/>
          <w:b/>
        </w:rPr>
        <w:t xml:space="preserve">Not for:</w:t>
      </w:r>
      <w:r>
        <w:t xml:space="preserve"> </w:t>
      </w:r>
      <w:r>
        <w:t xml:space="preserve">Facts counsel cannot support under Rule 11.</w:t>
      </w:r>
    </w:p>
    <w:p>
      <w:pPr>
        <w:pStyle w:val="BodyText"/>
        <w:spacing w:after="160" w:line="259" w:lineRule="auto"/>
      </w:pPr>
      <w:r>
        <w:rPr>
          <w:bCs/>
          <w:b/>
        </w:rPr>
        <w:t xml:space="preserve">Deadlines.</w:t>
      </w:r>
      <w:r>
        <w:t xml:space="preserve"> </w:t>
      </w:r>
      <w:r>
        <w:t xml:space="preserve">Answer within 21 days of service, or 60 days if service was waived (Fed. R. Civ. P. 12(a)).</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spacing w:lineRule="exact" w:line="240" w:before="0" w:after="0"/>
        <w:jc w:val="center"/>
      </w:pPr>
      <w:r>
        <w:rPr>
          <w:rFonts w:ascii="Times New Roman" w:hAnsi="Times New Roman" w:cs="Times New Roman" w:eastAsia="Times New Roman"/>
          <w:b/>
          <w:sz w:val="24"/>
        </w:rPr>
        <w:t>UNITED STATES DISTRICT COURT</w:t>
      </w:r>
    </w:p>
    <w:p>
      <w:pPr>
        <w:spacing w:lineRule="exact" w:line="240" w:before="0" w:after="0"/>
        <w:jc w:val="center"/>
      </w:pPr>
      <w:r>
        <w:rPr>
          <w:rFonts w:ascii="Times New Roman" w:hAnsi="Times New Roman" w:cs="Times New Roman" w:eastAsia="Times New Roman"/>
          <w:b/>
          <w:sz w:val="24"/>
        </w:rPr>
        <w:t>FOR THE [__________] DISTRICT OF [__________]</w:t>
      </w:r>
    </w:p>
    <w:p>
      <w:pPr>
        <w:spacing w:lineRule="exact" w:line="240" w:before="0" w:after="0"/>
      </w:pPr>
    </w:p>
    <w:tbl>
      <w:tblPr>
        <w:tblW w:type="auto" w:w="0"/>
        <w:jc w:val="left"/>
        <w:tblLayout w:type="fixed"/>
        <w:tblLook w:firstColumn="1" w:firstRow="1" w:lastColumn="0" w:lastRow="0" w:noHBand="0" w:noVBand="1" w:val="04A0"/>
      </w:tblPr>
      <w:tblGrid>
        <w:gridCol w:w="4680"/>
        <w:gridCol w:w="4680"/>
      </w:tblGrid>
      <w:tr>
        <w:tc>
          <w:tcPr>
            <w:tcW w:type="dxa" w:w="4824"/>
            <w:tcBorders>
              <w:right w:val="single" w:sz="4" w:color="000000"/>
              <w:bottom w:val="single" w:sz="4" w:color="000000"/>
            </w:tcBorders>
            <w:tcMar>
              <w:top w:w="0" w:type="dxa"/>
              <w:bottom w:w="0" w:type="dxa"/>
              <w:left w:w="0" w:type="dxa"/>
              <w:right w:w="100" w:type="dxa"/>
            </w:tcMar>
          </w:tcPr>
          <w:p>
            <w:pPr>
              <w:spacing w:lineRule="exact" w:line="240" w:before="0" w:after="0"/>
            </w:pPr>
            <w:r>
              <w:rPr>
                <w:rFonts w:ascii="Times New Roman" w:hAnsi="Times New Roman" w:cs="Times New Roman" w:eastAsia="Times New Roman"/>
                <w:b w:val="0"/>
                <w:sz w:val="24"/>
              </w:rPr>
              <w:t>[PATENTEE],</w:t>
            </w:r>
          </w:p>
          <w:p>
            <w:pPr>
              <w:spacing w:lineRule="exact" w:line="240" w:before="0" w:after="0"/>
              <w:ind w:left="2160"/>
            </w:pPr>
            <w:r>
              <w:rPr>
                <w:rFonts w:ascii="Times New Roman" w:hAnsi="Times New Roman" w:cs="Times New Roman" w:eastAsia="Times New Roman"/>
                <w:b w:val="0"/>
                <w:sz w:val="24"/>
              </w:rPr>
              <w:t>Plaintiff,</w:t>
            </w:r>
          </w:p>
          <w:p>
            <w:pPr>
              <w:spacing w:lineRule="exact" w:line="240" w:before="0" w:after="0"/>
            </w:pPr>
          </w:p>
          <w:p>
            <w:pPr>
              <w:spacing w:lineRule="exact" w:line="240" w:before="0" w:after="0"/>
            </w:pPr>
            <w:r>
              <w:rPr>
                <w:rFonts w:ascii="Times New Roman" w:hAnsi="Times New Roman" w:cs="Times New Roman" w:eastAsia="Times New Roman"/>
                <w:b w:val="0"/>
                <w:sz w:val="24"/>
              </w:rPr>
              <w:t>v.</w:t>
            </w:r>
          </w:p>
          <w:p>
            <w:pPr>
              <w:spacing w:lineRule="exact" w:line="240" w:before="0" w:after="0"/>
            </w:pPr>
          </w:p>
          <w:p>
            <w:pPr>
              <w:spacing w:lineRule="exact" w:line="240" w:before="0" w:after="0"/>
            </w:pPr>
            <w:r>
              <w:rPr>
                <w:rFonts w:ascii="Times New Roman" w:hAnsi="Times New Roman" w:cs="Times New Roman" w:eastAsia="Times New Roman"/>
                <w:b w:val="0"/>
                <w:sz w:val="24"/>
              </w:rPr>
              <w:t>[DEFENDANT],</w:t>
            </w:r>
          </w:p>
          <w:p>
            <w:pPr>
              <w:spacing w:lineRule="exact" w:line="240" w:before="0" w:after="0"/>
              <w:ind w:left="2160"/>
            </w:pPr>
            <w:r>
              <w:rPr>
                <w:rFonts w:ascii="Times New Roman" w:hAnsi="Times New Roman" w:cs="Times New Roman" w:eastAsia="Times New Roman"/>
                <w:b w:val="0"/>
                <w:sz w:val="24"/>
              </w:rPr>
              <w:t>Defendant.</w:t>
            </w:r>
          </w:p>
          <w:p>
            <w:pPr>
              <w:spacing w:lineRule="exact" w:line="240" w:before="0" w:after="0"/>
            </w:pPr>
          </w:p>
          <w:p>
            <w:pPr>
              <w:spacing w:lineRule="exact" w:line="240" w:before="0" w:after="0"/>
            </w:pPr>
          </w:p>
        </w:tc>
        <w:tc>
          <w:tcPr>
            <w:tcW w:type="dxa" w:w="4392"/>
            <w:tcMar>
              <w:top w:w="0" w:type="dxa"/>
              <w:bottom w:w="0" w:type="dxa"/>
              <w:left w:w="160" w:type="dxa"/>
              <w:right w:w="100" w:type="dxa"/>
            </w:tcMar>
          </w:tcPr>
          <w:p>
            <w:pPr>
              <w:spacing w:lineRule="exact" w:line="240" w:before="0" w:after="0"/>
            </w:pPr>
            <w:r>
              <w:rPr>
                <w:rFonts w:ascii="Times New Roman" w:hAnsi="Times New Roman" w:cs="Times New Roman" w:eastAsia="Times New Roman"/>
                <w:b w:val="0"/>
                <w:sz w:val="24"/>
              </w:rPr>
              <w:t>Civil Action No.</w:t>
            </w:r>
          </w:p>
          <w:p>
            <w:pPr>
              <w:spacing w:lineRule="exact" w:line="240" w:before="0" w:after="0"/>
            </w:pPr>
            <w:r>
              <w:rPr>
                <w:rFonts w:ascii="Times New Roman" w:hAnsi="Times New Roman" w:cs="Times New Roman" w:eastAsia="Times New Roman"/>
                <w:b w:val="0"/>
                <w:sz w:val="24"/>
              </w:rPr>
              <w:t>[__________]</w:t>
            </w:r>
          </w:p>
          <w:p>
            <w:pPr>
              <w:spacing w:lineRule="exact" w:line="240" w:before="0" w:after="0"/>
            </w:pPr>
          </w:p>
          <w:p>
            <w:pPr>
              <w:spacing w:lineRule="exact" w:line="240" w:before="0" w:after="0"/>
            </w:pPr>
            <w:r>
              <w:rPr>
                <w:rFonts w:ascii="Times New Roman" w:hAnsi="Times New Roman" w:cs="Times New Roman" w:eastAsia="Times New Roman"/>
                <w:b/>
                <w:sz w:val="24"/>
              </w:rPr>
              <w:t>DEFENDANT'S ANSWER,</w:t>
            </w:r>
          </w:p>
          <w:p>
            <w:pPr>
              <w:spacing w:lineRule="exact" w:line="240" w:before="0" w:after="0"/>
            </w:pPr>
            <w:r>
              <w:rPr>
                <w:rFonts w:ascii="Times New Roman" w:hAnsi="Times New Roman" w:cs="Times New Roman" w:eastAsia="Times New Roman"/>
                <w:b/>
                <w:sz w:val="24"/>
              </w:rPr>
              <w:t>AFFIRMATIVE DEFENSES,</w:t>
            </w:r>
          </w:p>
          <w:p>
            <w:pPr>
              <w:spacing w:lineRule="exact" w:line="240" w:before="0" w:after="0"/>
            </w:pPr>
            <w:r>
              <w:rPr>
                <w:rFonts w:ascii="Times New Roman" w:hAnsi="Times New Roman" w:cs="Times New Roman" w:eastAsia="Times New Roman"/>
                <w:b/>
                <w:sz w:val="24"/>
              </w:rPr>
              <w:t>AND COUNTERCLAIM</w:t>
            </w:r>
          </w:p>
          <w:p>
            <w:pPr>
              <w:spacing w:lineRule="exact" w:line="240" w:before="0" w:after="0"/>
            </w:pPr>
            <w:r>
              <w:rPr>
                <w:rFonts w:ascii="Times New Roman" w:hAnsi="Times New Roman" w:cs="Times New Roman" w:eastAsia="Times New Roman"/>
                <w:b/>
                <w:sz w:val="24"/>
              </w:rPr>
              <w:t>[excerpts]</w:t>
            </w:r>
          </w:p>
          <w:p>
            <w:pPr>
              <w:spacing w:lineRule="exact" w:line="240" w:before="0" w:after="0"/>
            </w:pPr>
          </w:p>
          <w:p>
            <w:pPr>
              <w:spacing w:lineRule="exact" w:line="240" w:before="0" w:after="0"/>
            </w:pPr>
          </w:p>
        </w:tc>
      </w:tr>
    </w:tbl>
    <w:p>
      <w:pPr>
        <w:spacing w:lineRule="exact" w:line="240" w:before="0" w:after="0"/>
      </w:pPr>
    </w:p>
    <w:p>
      <w:pPr>
        <w:spacing w:lineRule="exact" w:line="240" w:before="0" w:after="0"/>
      </w:pPr>
    </w:p>
    <w:p>
      <w:pPr>
        <w:pStyle w:val="BodyText"/>
        <w:spacing w:lineRule="exact" w:line="480" w:before="0" w:after="0"/>
      </w:pPr>
      <w:r>
        <w:t xml:space="preserve">. . .</w:t>
      </w:r>
    </w:p>
    <w:p>
      <w:pPr>
        <w:pStyle w:val="BodyText"/>
        <w:keepNext/>
        <w:spacing w:lineRule="exact" w:line="480" w:before="0" w:after="0"/>
        <w:jc w:val="center"/>
      </w:pPr>
      <w:r>
        <w:rPr>
          <w:bCs/>
          <w:b/>
        </w:rPr>
        <w:t xml:space="preserve">AFFIRMATIVE DEFENSES</w:t>
      </w:r>
    </w:p>
    <w:p>
      <w:pPr>
        <w:pStyle w:val="BodyText"/>
        <w:spacing w:lineRule="exact" w:line="480" w:before="0" w:after="0"/>
      </w:pPr>
      <w:r>
        <w:rPr>
          <w:bCs/>
          <w:b/>
        </w:rPr>
        <w:t xml:space="preserve">[Second] Defense: Invalidity for lack of a human inventor (35 U.S.C. §§100(f), 101, 115, 282(b)(2))</w:t>
      </w:r>
    </w:p>
    <w:p>
      <w:pPr>
        <w:numPr>
          <w:ilvl w:val="0"/>
          <w:numId w:val="1001"/>
        </w:numPr>
        <w:spacing w:lineRule="exact" w:line="480" w:before="0" w:after="0"/>
      </w:pPr>
      <w:r>
        <w:t xml:space="preserve">Each asserted claim of U.S. Patent No. [__] (the</w:t>
      </w:r>
      <w:r>
        <w:t xml:space="preserve"> </w:t>
      </w:r>
      <w:r>
        <w:t xml:space="preserve">“</w:t>
      </w:r>
      <w:r>
        <w:t xml:space="preserve">’[__] patent</w:t>
      </w:r>
      <w:r>
        <w:t xml:space="preserve">”</w:t>
      </w:r>
      <w:r>
        <w:t xml:space="preserve">) is invalid because no person named as an</w:t>
      </w:r>
      <w:r>
        <w:t xml:space="preserve"> </w:t>
      </w:r>
      <w:r>
        <w:t xml:space="preserve">inventor invented or discovered the claimed subject matter. A patent may be obtained only by</w:t>
      </w:r>
      <w:r>
        <w:t xml:space="preserve"> </w:t>
      </w:r>
      <w:r>
        <w:t xml:space="preserve">“</w:t>
      </w:r>
      <w:r>
        <w:t xml:space="preserve">[w]hoever invents or</w:t>
      </w:r>
      <w:r>
        <w:t xml:space="preserve"> </w:t>
      </w:r>
      <w:r>
        <w:t xml:space="preserve">discovers</w:t>
      </w:r>
      <w:r>
        <w:t xml:space="preserve">”</w:t>
      </w:r>
      <w:r>
        <w:t xml:space="preserve"> </w:t>
      </w:r>
      <w:r>
        <w:t xml:space="preserve">the subject matter (35 U.S.C. §101), an</w:t>
      </w:r>
      <w:r>
        <w:t xml:space="preserve"> </w:t>
      </w:r>
      <w:r>
        <w:t xml:space="preserve">“</w:t>
      </w:r>
      <w:r>
        <w:t xml:space="preserve">inventor</w:t>
      </w:r>
      <w:r>
        <w:t xml:space="preserve">”</w:t>
      </w:r>
      <w:r>
        <w:t xml:space="preserve"> </w:t>
      </w:r>
      <w:r>
        <w:t xml:space="preserve">is the individual</w:t>
      </w:r>
      <w:r>
        <w:t xml:space="preserve"> </w:t>
      </w:r>
      <w:r>
        <w:t xml:space="preserve">“</w:t>
      </w:r>
      <w:r>
        <w:t xml:space="preserve">who invented or discovered the</w:t>
      </w:r>
      <w:r>
        <w:t xml:space="preserve"> </w:t>
      </w:r>
      <w:r>
        <w:t xml:space="preserve">subject matter of the invention</w:t>
      </w:r>
      <w:r>
        <w:t xml:space="preserve">”</w:t>
      </w:r>
      <w:r>
        <w:t xml:space="preserve"> </w:t>
      </w:r>
      <w:r>
        <w:t xml:space="preserve">(§100(f)), and only natural persons may be inventors.</w:t>
      </w:r>
      <w:r>
        <w:t xml:space="preserve"> </w:t>
      </w:r>
      <w:r>
        <w:rPr>
          <w:iCs/>
          <w:i/>
        </w:rPr>
        <w:t xml:space="preserve">Thaler v. Vidal</w:t>
      </w:r>
      <w:r>
        <w:t xml:space="preserve">, 43 F.4th</w:t>
      </w:r>
      <w:r>
        <w:t xml:space="preserve"> </w:t>
      </w:r>
      <w:r>
        <w:t xml:space="preserve">1207, 1211-12 (Fed. Cir. 2022).</w:t>
      </w:r>
    </w:p>
    <w:p>
      <w:pPr>
        <w:numPr>
          <w:ilvl w:val="0"/>
          <w:numId w:val="1001"/>
        </w:numPr>
        <w:spacing w:lineRule="exact" w:line="480" w:before="0" w:after="0"/>
      </w:pPr>
      <w:r>
        <w:t xml:space="preserve">On information and belief, the subject matter of claims [__] was conceived by a non-human intelligence and</w:t>
      </w:r>
      <w:r>
        <w:t xml:space="preserve"> </w:t>
      </w:r>
      <w:r>
        <w:t xml:space="preserve">embodied in [describe the artifact or source in non-classified terms, e.g.,</w:t>
      </w:r>
      <w:r>
        <w:t xml:space="preserve"> </w:t>
      </w:r>
      <w:r>
        <w:t xml:space="preserve">“</w:t>
      </w:r>
      <w:r>
        <w:t xml:space="preserve">a recovered object described in</w:t>
      </w:r>
      <w:r>
        <w:t xml:space="preserve"> </w:t>
      </w:r>
      <w:r>
        <w:t xml:space="preserve">(released record, date)</w:t>
      </w:r>
      <w:r>
        <w:t xml:space="preserve">”</w:t>
      </w:r>
      <w:r>
        <w:t xml:space="preserve">] before any named inventor had any idea of it. [Allege facts: the named inventor’s</w:t>
      </w:r>
      <w:r>
        <w:t xml:space="preserve"> </w:t>
      </w:r>
      <w:r>
        <w:t xml:space="preserve">access to the artifact or records; dates; the correspondence between the claim limitations and the artifact as</w:t>
      </w:r>
      <w:r>
        <w:t xml:space="preserve"> </w:t>
      </w:r>
      <w:r>
        <w:t xml:space="preserve">described in (source); the patentee’s own public statements attributing the design to a non-human source.]</w:t>
      </w:r>
    </w:p>
    <w:p>
      <w:pPr>
        <w:numPr>
          <w:ilvl w:val="0"/>
          <w:numId w:val="1001"/>
        </w:numPr>
        <w:spacing w:lineRule="exact" w:line="480" w:before="0" w:after="0"/>
      </w:pPr>
      <w:r>
        <w:t xml:space="preserve">Because no human conceived the claimed subject matter, inventorship cannot be corrected under 35 U.S.C. §256,</w:t>
      </w:r>
      <w:r>
        <w:t xml:space="preserve"> </w:t>
      </w:r>
      <w:r>
        <w:t xml:space="preserve">and the claims are invalid.</w:t>
      </w:r>
    </w:p>
    <w:p>
      <w:pPr>
        <w:pStyle w:val="FirstParagraph"/>
        <w:spacing w:lineRule="exact" w:line="480" w:before="0" w:after="0"/>
      </w:pPr>
      <w:r>
        <w:rPr>
          <w:bCs/>
          <w:b/>
        </w:rPr>
        <w:t xml:space="preserve">[Third] Defense: Invalidity under 35 U.S.C. §§102 and 103</w:t>
      </w:r>
      <w:r>
        <w:t xml:space="preserve"> </w:t>
      </w:r>
      <w:r>
        <w:t xml:space="preserve">[if the artifact or its description became public</w:t>
      </w:r>
      <w:r>
        <w:t xml:space="preserve"> </w:t>
      </w:r>
      <w:r>
        <w:t xml:space="preserve">before the effective filing date]</w:t>
      </w:r>
    </w:p>
    <w:p>
      <w:pPr>
        <w:pStyle w:val="Compact"/>
        <w:numPr>
          <w:ilvl w:val="0"/>
          <w:numId w:val="1002"/>
        </w:numPr>
        <w:spacing w:lineRule="exact" w:line="480" w:before="0" w:after="0"/>
      </w:pPr>
      <w:r>
        <w:t xml:space="preserve">Claims [__] are anticipated by, or obvious over, [the description of the artifact published on (date) at</w:t>
      </w:r>
      <w:r>
        <w:t xml:space="preserve"> </w:t>
      </w:r>
      <w:r>
        <w:t xml:space="preserve">(source)] and [other references], which disclose each limitation of the claims.</w:t>
      </w:r>
    </w:p>
    <w:p>
      <w:pPr>
        <w:pStyle w:val="FirstParagraph"/>
        <w:spacing w:lineRule="exact" w:line="480" w:before="0" w:after="0"/>
      </w:pPr>
      <w:r>
        <w:rPr>
          <w:bCs/>
          <w:b/>
        </w:rPr>
        <w:t xml:space="preserve">[Fourth] Defense: Invalidity under 35 U.S.C. §101 (law of nature)</w:t>
      </w:r>
    </w:p>
    <w:p>
      <w:pPr>
        <w:pStyle w:val="Compact"/>
        <w:numPr>
          <w:ilvl w:val="0"/>
          <w:numId w:val="1003"/>
        </w:numPr>
        <w:spacing w:lineRule="exact" w:line="480" w:before="0" w:after="0"/>
      </w:pPr>
      <w:r>
        <w:t xml:space="preserve">Claims [__] are directed to [the physical principle] and add no inventive concept beyond it.</w:t>
      </w:r>
      <w:r>
        <w:t xml:space="preserve"> </w:t>
      </w:r>
      <w:r>
        <w:rPr>
          <w:iCs/>
          <w:i/>
        </w:rPr>
        <w:t xml:space="preserve">Mayo</w:t>
      </w:r>
      <w:r>
        <w:rPr>
          <w:iCs/>
          <w:i/>
        </w:rPr>
        <w:t xml:space="preserve"> </w:t>
      </w:r>
      <w:r>
        <w:rPr>
          <w:iCs/>
          <w:i/>
        </w:rPr>
        <w:t xml:space="preserve">Collaborative Servs. v. Prometheus Labs., Inc.</w:t>
      </w:r>
      <w:r>
        <w:t xml:space="preserve">, 566 U.S. 66, 71-72 (2012).</w:t>
      </w:r>
    </w:p>
    <w:p>
      <w:pPr>
        <w:pStyle w:val="FirstParagraph"/>
        <w:spacing w:lineRule="exact" w:line="480" w:before="0" w:after="0"/>
      </w:pPr>
      <w:r>
        <w:rPr>
          <w:bCs/>
          <w:b/>
        </w:rPr>
        <w:t xml:space="preserve">[Fifth] Defense: Invalidity under 35 U.S.C. §112(a)</w:t>
      </w:r>
    </w:p>
    <w:p>
      <w:pPr>
        <w:pStyle w:val="Compact"/>
        <w:numPr>
          <w:ilvl w:val="0"/>
          <w:numId w:val="1004"/>
        </w:numPr>
        <w:spacing w:lineRule="exact" w:line="480" w:before="0" w:after="0"/>
      </w:pPr>
      <w:r>
        <w:t xml:space="preserve">The specification does not enable a person of ordinary skill to make and use the full scope of claims [__]</w:t>
      </w:r>
      <w:r>
        <w:t xml:space="preserve"> </w:t>
      </w:r>
      <w:r>
        <w:t xml:space="preserve">without undue experimentation, because [describe: e.g., it does not disclose how to make the claimed material</w:t>
      </w:r>
      <w:r>
        <w:t xml:space="preserve"> </w:t>
      </w:r>
      <w:r>
        <w:t xml:space="preserve">or why the claimed mechanism operates].</w:t>
      </w:r>
    </w:p>
    <w:p>
      <w:pPr>
        <w:pStyle w:val="FirstParagraph"/>
        <w:spacing w:lineRule="exact" w:line="480" w:before="0" w:after="0"/>
      </w:pPr>
      <w:r>
        <w:rPr>
          <w:bCs/>
          <w:b/>
        </w:rPr>
        <w:t xml:space="preserve">[Sixth] Defense: Unenforceability for inequitable conduct</w:t>
      </w:r>
    </w:p>
    <w:p>
      <w:pPr>
        <w:pStyle w:val="Compact"/>
        <w:numPr>
          <w:ilvl w:val="0"/>
          <w:numId w:val="1005"/>
        </w:numPr>
        <w:spacing w:lineRule="exact" w:line="480" w:before="0" w:after="0"/>
      </w:pPr>
      <w:r>
        <w:t xml:space="preserve">The ’[__] patent is unenforceable. With particularity: (a)</w:t>
      </w:r>
      <w:r>
        <w:t xml:space="preserve"> </w:t>
      </w:r>
      <w:r>
        <w:rPr>
          <w:bCs/>
          <w:b/>
        </w:rPr>
        <w:t xml:space="preserve">who:</w:t>
      </w:r>
      <w:r>
        <w:t xml:space="preserve"> </w:t>
      </w:r>
      <w:r>
        <w:t xml:space="preserve">[named inventor(s)] [and prosecuting</w:t>
      </w:r>
      <w:r>
        <w:t xml:space="preserve"> </w:t>
      </w:r>
      <w:r>
        <w:t xml:space="preserve">counsel]; (b)</w:t>
      </w:r>
      <w:r>
        <w:t xml:space="preserve"> </w:t>
      </w:r>
      <w:r>
        <w:rPr>
          <w:bCs/>
          <w:b/>
        </w:rPr>
        <w:t xml:space="preserve">what:</w:t>
      </w:r>
      <w:r>
        <w:t xml:space="preserve"> </w:t>
      </w:r>
      <w:r>
        <w:t xml:space="preserve">each named inventor executed a declaration under 35 U.S.C. §115 on [date] stating a belief</w:t>
      </w:r>
      <w:r>
        <w:t xml:space="preserve"> </w:t>
      </w:r>
      <w:r>
        <w:t xml:space="preserve">that he or she was</w:t>
      </w:r>
      <w:r>
        <w:t xml:space="preserve"> </w:t>
      </w:r>
      <w:r>
        <w:t xml:space="preserve">“</w:t>
      </w:r>
      <w:r>
        <w:t xml:space="preserve">the original inventor or an original joint inventor</w:t>
      </w:r>
      <w:r>
        <w:t xml:space="preserve">”</w:t>
      </w:r>
      <w:r>
        <w:t xml:space="preserve"> </w:t>
      </w:r>
      <w:r>
        <w:t xml:space="preserve">of the claimed invention, and [failed to</w:t>
      </w:r>
      <w:r>
        <w:t xml:space="preserve"> </w:t>
      </w:r>
      <w:r>
        <w:t xml:space="preserve">disclose / affirmatively misstated] that the claimed subject matter was [taken from / observed in] [source];</w:t>
      </w:r>
      <w:r>
        <w:br/>
      </w:r>
    </w:p>
    <w:p>
      <w:pPr>
        <w:pStyle w:val="FirstParagraph"/>
        <w:spacing w:lineRule="exact" w:line="480" w:before="0" w:after="0"/>
        <w:ind w:firstLine="720"/>
      </w:pPr>
      <w:r>
        <w:t xml:space="preserve">(c)</w:t>
      </w:r>
      <w:r>
        <w:t xml:space="preserve"> </w:t>
      </w:r>
      <w:r>
        <w:rPr>
          <w:bCs/>
          <w:b/>
        </w:rPr>
        <w:t xml:space="preserve">when and where:</w:t>
      </w:r>
      <w:r>
        <w:t xml:space="preserve"> </w:t>
      </w:r>
      <w:r>
        <w:t xml:space="preserve">[dates of declarations and filings; application no.]; (d)</w:t>
      </w:r>
      <w:r>
        <w:t xml:space="preserve"> </w:t>
      </w:r>
      <w:r>
        <w:rPr>
          <w:bCs/>
          <w:b/>
        </w:rPr>
        <w:t xml:space="preserve">how:</w:t>
      </w:r>
      <w:r>
        <w:t xml:space="preserve"> </w:t>
      </w:r>
      <w:r>
        <w:t xml:space="preserve">but for the</w:t>
      </w:r>
      <w:r>
        <w:t xml:space="preserve"> </w:t>
      </w:r>
      <w:r>
        <w:t xml:space="preserve">misrepresentation the examiner would have rejected claims [__] under 35 U.S.C. §§101 and 115, and filing a false</w:t>
      </w:r>
      <w:r>
        <w:t xml:space="preserve"> </w:t>
      </w:r>
      <w:r>
        <w:t xml:space="preserve">declaration is affirmative egregious misconduct (</w:t>
      </w:r>
      <w:r>
        <w:rPr>
          <w:iCs/>
          <w:i/>
        </w:rPr>
        <w:t xml:space="preserve">Therasense, Inc. v. Becton, Dickinson &amp; Co.</w:t>
      </w:r>
      <w:r>
        <w:t xml:space="preserve">, 649 F.3d 1276, 1292</w:t>
      </w:r>
      <w:r>
        <w:t xml:space="preserve"> </w:t>
      </w:r>
      <w:r>
        <w:t xml:space="preserve">(Fed. Cir. 2011) (en banc)); and (e)</w:t>
      </w:r>
      <w:r>
        <w:t xml:space="preserve"> </w:t>
      </w:r>
      <w:r>
        <w:rPr>
          <w:bCs/>
          <w:b/>
        </w:rPr>
        <w:t xml:space="preserve">intent:</w:t>
      </w:r>
      <w:r>
        <w:t xml:space="preserve"> </w:t>
      </w:r>
      <w:r>
        <w:t xml:space="preserve">[allege specific facts supporting a reasonable inference that the</w:t>
      </w:r>
      <w:r>
        <w:t xml:space="preserve"> </w:t>
      </w:r>
      <w:r>
        <w:t xml:space="preserve">declarants knew the source of the subject matter and intended to deceive the USPTO, e.g., the inventor’s</w:t>
      </w:r>
      <w:r>
        <w:t xml:space="preserve"> </w:t>
      </w:r>
      <w:r>
        <w:t xml:space="preserve">contemporaneous statements, program access records, or public statements].</w:t>
      </w:r>
    </w:p>
    <w:p>
      <w:pPr>
        <w:pStyle w:val="BodyText"/>
        <w:keepNext/>
        <w:spacing w:lineRule="exact" w:line="480" w:before="0" w:after="0"/>
        <w:jc w:val="center"/>
      </w:pPr>
      <w:r>
        <w:rPr>
          <w:bCs/>
          <w:b/>
        </w:rPr>
        <w:t xml:space="preserve">COUNTERCLAIM</w:t>
      </w:r>
    </w:p>
    <w:p>
      <w:pPr>
        <w:numPr>
          <w:ilvl w:val="0"/>
          <w:numId w:val="1006"/>
        </w:numPr>
        <w:spacing w:lineRule="exact" w:line="480" w:before="0" w:after="0"/>
      </w:pPr>
      <w:r>
        <w:t xml:space="preserve">Defendant incorporates its affirmative defenses.</w:t>
      </w:r>
    </w:p>
    <w:p>
      <w:pPr>
        <w:numPr>
          <w:ilvl w:val="0"/>
          <w:numId w:val="1006"/>
        </w:numPr>
        <w:spacing w:lineRule="exact" w:line="480" w:before="0" w:after="0"/>
      </w:pPr>
      <w:r>
        <w:rPr>
          <w:bCs/>
          <w:b/>
        </w:rPr>
        <w:t xml:space="preserve">Parties, jurisdiction, venue.</w:t>
      </w:r>
      <w:r>
        <w:t xml:space="preserve"> </w:t>
      </w:r>
      <w:r>
        <w:t xml:space="preserve">[Allege.] The Court has jurisdiction under 28 U.S.C. §§1331, 1338(a), and</w:t>
      </w:r>
      <w:r>
        <w:t xml:space="preserve"> </w:t>
      </w:r>
      <w:r>
        <w:t xml:space="preserve">2201-2202. An actual controversy exists because Plaintiff has sued Defendant for infringement of the ’[__] patent.</w:t>
      </w:r>
    </w:p>
    <w:p>
      <w:pPr>
        <w:pStyle w:val="FirstParagraph"/>
        <w:spacing w:lineRule="exact" w:line="480" w:before="0" w:after="0"/>
        <w:ind w:firstLine="720"/>
      </w:pPr>
      <w:r>
        <w:rPr>
          <w:bCs/>
          <w:b/>
        </w:rPr>
        <w:t xml:space="preserve">Count I: Declaratory judgment of invalidity.</w:t>
      </w:r>
      <w:r>
        <w:t xml:space="preserve"> </w:t>
      </w:r>
      <w:r>
        <w:t xml:space="preserve">10. Defendant is entitled to a declaration that claims [__] of</w:t>
      </w:r>
      <w:r>
        <w:t xml:space="preserve"> </w:t>
      </w:r>
      <w:r>
        <w:t xml:space="preserve">the ’[__] patent are invalid under 35 U.S.C. §§101, 102, 103, 112, and 115.</w:t>
      </w:r>
    </w:p>
    <w:p>
      <w:pPr>
        <w:pStyle w:val="BodyText"/>
        <w:spacing w:lineRule="exact" w:line="480" w:before="0" w:after="0"/>
        <w:ind w:firstLine="720"/>
      </w:pPr>
      <w:r>
        <w:rPr>
          <w:bCs/>
          <w:b/>
        </w:rPr>
        <w:t xml:space="preserve">Count II: Declaratory judgment of unenforceability.</w:t>
      </w:r>
      <w:r>
        <w:t xml:space="preserve"> </w:t>
      </w:r>
      <w:r>
        <w:t xml:space="preserve">11. Defendant is entitled to a declaration that the</w:t>
      </w:r>
      <w:r>
        <w:t xml:space="preserve"> </w:t>
      </w:r>
      <w:r>
        <w:t xml:space="preserve">’[__] patent is unenforceable for inequitable conduct.</w:t>
      </w:r>
    </w:p>
    <w:p>
      <w:pPr>
        <w:pStyle w:val="BodyText"/>
        <w:keepNext/>
        <w:spacing w:lineRule="exact" w:line="480" w:before="0" w:after="0"/>
        <w:jc w:val="center"/>
      </w:pPr>
      <w:r>
        <w:rPr>
          <w:bCs/>
          <w:b/>
        </w:rPr>
        <w:t xml:space="preserve">PRAYER</w:t>
      </w:r>
    </w:p>
    <w:p>
      <w:pPr>
        <w:pStyle w:val="BodyText"/>
        <w:spacing w:lineRule="exact" w:line="480" w:before="0" w:after="0"/>
        <w:ind w:firstLine="720"/>
      </w:pPr>
      <w:r>
        <w:t xml:space="preserve">Defendant asks the Court to dismiss the complaint with prejudice; declare the asserted claims invalid and the</w:t>
      </w:r>
      <w:r>
        <w:t xml:space="preserve"> </w:t>
      </w:r>
      <w:r>
        <w:t xml:space="preserve">’[__] patent unenforceable; find this case exceptional and award attorney’s fees under 35 U.S.C. §285; and grant</w:t>
      </w:r>
      <w:r>
        <w:t xml:space="preserve"> </w:t>
      </w:r>
      <w:r>
        <w:t xml:space="preserve">such other relief as is just.</w:t>
      </w:r>
    </w:p>
    <w:p>
      <w:pPr>
        <w:pStyle w:val="BodyText"/>
        <w:spacing w:lineRule="exact" w:line="480" w:before="0" w:after="0"/>
      </w:pPr>
      <w:r>
        <w:t xml:space="preserve">Dated: [__________] Respectfully submitted,</w:t>
      </w:r>
      <w:r>
        <w:br/>
      </w:r>
      <w:r>
        <w:t xml:space="preserve">[signature block]</w:t>
      </w:r>
    </w:p>
    <w:p>
      <w:pPr>
        <w:pStyle w:val="BodyText"/>
        <w:spacing w:lineRule="exact" w:line="40" w:before="0" w:after="0"/>
        <w:sectPr>
          <w:headerReference w:type="default" r:id="rId11"/>
          <w:footerReference w:type="default" r:id="rId12"/>
          <w:pgSz w:h="15840" w:w="12240"/>
          <w:pgMar w:bottom="936" w:left="2160" w:right="864" w:top="1440" w:header="576" w:footer="360"/>
          <w:pgBorders w:offsetFrom="text">
            <w:left w:val="double" w:sz="4" w:space="4" w:color="000000"/>
            <w:right w:val="single" w:sz="4" w:space="4" w:color="000000"/>
          </w:pgBorders>
          <w:pgNumType w:start="1"/>
        </w:sectPr>
      </w:pPr>
    </w:p>
    <w:bookmarkStart w:id="23" w:name="drafting-notes"/>
    <w:p>
      <w:pPr>
        <w:pStyle w:val="Heading2"/>
      </w:pPr>
      <w:r>
        <w:t xml:space="preserve">Drafting notes</w:t>
      </w:r>
    </w:p>
    <w:p>
      <w:pPr>
        <w:pStyle w:val="Compact"/>
        <w:numPr>
          <w:ilvl w:val="0"/>
          <w:numId w:val="1007"/>
        </w:numPr>
      </w:pPr>
      <w:r>
        <w:rPr>
          <w:bCs/>
          <w:b/>
        </w:rPr>
        <w:t xml:space="preserve">Evidence and classification.</w:t>
      </w:r>
      <w:r>
        <w:t xml:space="preserve"> </w:t>
      </w:r>
      <w:r>
        <w:t xml:space="preserve">The defense will likely require discovery of the inventor’s program access and</w:t>
      </w:r>
      <w:r>
        <w:t xml:space="preserve"> </w:t>
      </w:r>
      <w:r>
        <w:t xml:space="preserve">lab records. If the patentee or the government asserts that the facts of conception are classified, consider</w:t>
      </w:r>
      <w:r>
        <w:t xml:space="preserve"> </w:t>
      </w:r>
      <w:r>
        <w:t xml:space="preserve">moving for a protective order (</w:t>
      </w:r>
      <w:hyperlink r:id="rId21">
        <w:r>
          <w:rPr>
            <w:rStyle w:val="Hyperlink"/>
          </w:rPr>
          <w:t xml:space="preserve">Form A1-1</w:t>
        </w:r>
      </w:hyperlink>
      <w:r>
        <w:t xml:space="preserve">) and arguing that a party may not enforce a patent while withholding the</w:t>
      </w:r>
      <w:r>
        <w:t xml:space="preserve"> </w:t>
      </w:r>
      <w:r>
        <w:t xml:space="preserve">facts of its conception; the state secrets privilege can end the case for both sides (</w:t>
      </w:r>
      <w:r>
        <w:rPr>
          <w:iCs/>
          <w:i/>
        </w:rPr>
        <w:t xml:space="preserve">Geospatial</w:t>
      </w:r>
      <w:r>
        <w:t xml:space="preserve">,</w:t>
      </w:r>
      <w:r>
        <w:t xml:space="preserve"> </w:t>
      </w:r>
      <w:r>
        <w:rPr>
          <w:iCs/>
          <w:i/>
        </w:rPr>
        <w:t xml:space="preserve">Clift</w:t>
      </w:r>
      <w:r>
        <w:t xml:space="preserve">;</w:t>
      </w:r>
      <w:r>
        <w:t xml:space="preserve"> </w:t>
      </w:r>
      <w:hyperlink r:id="rId22">
        <w:r>
          <w:rPr>
            <w:rStyle w:val="Hyperlink"/>
          </w:rPr>
          <w:t xml:space="preserve">Issue E2</w:t>
        </w:r>
      </w:hyperlink>
      <w:r>
        <w:t xml:space="preserve">). Consider notifying the Department of Justice early if the government’s interests are implicated.</w:t>
      </w:r>
    </w:p>
    <w:p>
      <w:pPr>
        <w:pStyle w:val="Compact"/>
        <w:numPr>
          <w:ilvl w:val="0"/>
          <w:numId w:val="1007"/>
        </w:numPr>
      </w:pPr>
      <w:r>
        <w:rPr>
          <w:bCs/>
          <w:b/>
        </w:rPr>
        <w:t xml:space="preserve">Burden.</w:t>
      </w:r>
      <w:r>
        <w:t xml:space="preserve"> </w:t>
      </w:r>
      <w:r>
        <w:t xml:space="preserve">Invalidity must be proved by clear and convincing evidence. Derivation doctrine requires proof of</w:t>
      </w:r>
      <w:r>
        <w:t xml:space="preserve"> </w:t>
      </w:r>
      <w:r>
        <w:t xml:space="preserve">“</w:t>
      </w:r>
      <w:r>
        <w:t xml:space="preserve">prior conception of the invention by another and communication of that conception to the patentee</w:t>
      </w:r>
      <w:r>
        <w:t xml:space="preserve">”</w:t>
      </w:r>
      <w:r>
        <w:t xml:space="preserve"> </w:t>
      </w:r>
      <w:r>
        <w:t xml:space="preserve">(</w:t>
      </w:r>
      <w:r>
        <w:rPr>
          <w:iCs/>
          <w:i/>
        </w:rPr>
        <w:t xml:space="preserve">Gambro</w:t>
      </w:r>
      <w:r>
        <w:rPr>
          <w:iCs/>
          <w:i/>
        </w:rPr>
        <w:t xml:space="preserve"> </w:t>
      </w:r>
      <w:r>
        <w:rPr>
          <w:iCs/>
          <w:i/>
        </w:rPr>
        <w:t xml:space="preserve">Lundia AB v. Baxter Healthcare Corp.</w:t>
      </w:r>
      <w:r>
        <w:t xml:space="preserve">, 110 F.3d 1573, 1576 (Fed. Cir. 1997)), which is hard to show for a</w:t>
      </w:r>
      <w:r>
        <w:t xml:space="preserve"> </w:t>
      </w:r>
      <w:r>
        <w:t xml:space="preserve">non-human conceiver. The Second Defense is framed instead around the named inventor’s lack of conception, which</w:t>
      </w:r>
      <w:r>
        <w:t xml:space="preserve"> </w:t>
      </w:r>
      <w:r>
        <w:t xml:space="preserve">can be proved through the inventor’s own records and access.</w:t>
      </w:r>
    </w:p>
    <w:p>
      <w:pPr>
        <w:pStyle w:val="Compact"/>
        <w:numPr>
          <w:ilvl w:val="0"/>
          <w:numId w:val="1007"/>
        </w:numPr>
      </w:pPr>
      <w:r>
        <w:rPr>
          <w:bCs/>
          <w:b/>
        </w:rPr>
        <w:t xml:space="preserve">Open legal question.</w:t>
      </w:r>
      <w:r>
        <w:t xml:space="preserve"> </w:t>
      </w:r>
      <w:r>
        <w:t xml:space="preserve">Whether lack of a human inventor is a §282(b) invalidity defense after the repeal of</w:t>
      </w:r>
      <w:r>
        <w:t xml:space="preserve"> </w:t>
      </w:r>
      <w:r>
        <w:t xml:space="preserve">former §102(f) is undecided. The USPTO treats §§101 and 115 as the source of the rule (90 Fed. Reg. 54636, 54637</w:t>
      </w:r>
      <w:r>
        <w:t xml:space="preserve"> </w:t>
      </w:r>
      <w:r>
        <w:t xml:space="preserve">(Nov. 28, 2025)). Plead §§101 and 115 together and preserve the issue.</w:t>
      </w:r>
    </w:p>
    <w:p>
      <w:pPr>
        <w:pStyle w:val="Compact"/>
        <w:numPr>
          <w:ilvl w:val="0"/>
          <w:numId w:val="1007"/>
        </w:numPr>
      </w:pPr>
      <w:r>
        <w:rPr>
          <w:bCs/>
          <w:b/>
        </w:rPr>
        <w:t xml:space="preserve">Post-grant review.</w:t>
      </w:r>
      <w:r>
        <w:t xml:space="preserve"> </w:t>
      </w:r>
      <w:r>
        <w:t xml:space="preserve">Within nine months of grant, a petition for post-grant review may raise any §282(b)(2)-(3)</w:t>
      </w:r>
      <w:r>
        <w:t xml:space="preserve"> </w:t>
      </w:r>
      <w:r>
        <w:t xml:space="preserve">ground (35 U.S.C. §321(b)-(c)) and may be a cheaper forum.</w:t>
      </w:r>
    </w:p>
    <w:p>
      <w:pPr>
        <w:pStyle w:val="Compact"/>
        <w:numPr>
          <w:ilvl w:val="0"/>
          <w:numId w:val="1007"/>
        </w:numPr>
      </w:pPr>
      <w:r>
        <w:t xml:space="preserve">Related:</w:t>
      </w:r>
      <w:r>
        <w:t xml:space="preserve"> </w:t>
      </w:r>
      <w:hyperlink r:id="rId20">
        <w:r>
          <w:rPr>
            <w:rStyle w:val="Hyperlink"/>
          </w:rPr>
          <w:t xml:space="preserve">Issue E6</w:t>
        </w:r>
      </w:hyperlink>
      <w:r>
        <w:t xml:space="preserve">, E2, A1; Forms E6-1, E6-3, A1-1.</w:t>
      </w:r>
    </w:p>
    <w:bookmarkEnd w:id="23"/>
    <w:bookmarkEnd w:id="24"/>
    <w:sectPr>
      <w:headerReference w:type="default" r:id="rId13"/>
      <w:footerReference w:type="default" r:id="rId14"/>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Rule="exact" w:line="220" w:before="0" w:after="0"/>
      <w:jc w:val="center"/>
    </w:pPr>
    <w:r>
      <w:rPr>
        <w:rFonts w:ascii="Times New Roman" w:hAnsi="Times New Roman" w:cs="Times New Roman" w:eastAsia="Times New Roman"/>
        <w:sz w:val="20"/>
      </w:rPr>
      <w:fldChar w:fldCharType="begin"/>
    </w:r>
    <w:r>
      <w:rPr>
        <w:rFonts w:ascii="Times New Roman" w:hAnsi="Times New Roman" w:cs="Times New Roman" w:eastAsia="Times New Roman"/>
        <w:sz w:val="20"/>
      </w:rPr>
      <w:instrText xml:space="preserve"> PAGE </w:instrText>
    </w:r>
    <w:r>
      <w:rPr>
        <w:rFonts w:ascii="Times New Roman" w:hAnsi="Times New Roman" w:cs="Times New Roman" w:eastAsia="Times New Roman"/>
        <w:sz w:val="20"/>
      </w:rPr>
      <w:fldChar w:fldCharType="separate"/>
    </w:r>
    <w:r>
      <w:rPr>
        <w:rFonts w:ascii="Times New Roman" w:hAnsi="Times New Roman" w:cs="Times New Roman" w:eastAsia="Times New Roman"/>
        <w:sz w:val="20"/>
      </w:rPr>
      <w:t>1</w:t>
    </w:r>
    <w:r>
      <w:rPr>
        <w:rFonts w:ascii="Times New Roman" w:hAnsi="Times New Roman" w:cs="Times New Roman" w:eastAsia="Times New Roman"/>
        <w:sz w:val="20"/>
      </w:rPr>
      <w:fldChar w:fldCharType="end"/>
    </w:r>
  </w:p>
  <w:p>
    <w:pPr>
      <w:pBdr>
        <w:top w:val="single" w:sz="6" w:space="1" w:color="000000"/>
      </w:pBdr>
      <w:spacing w:lineRule="exact" w:line="220" w:before="0" w:after="0"/>
      <w:jc w:val="center"/>
    </w:pPr>
    <w:r>
      <w:rPr>
        <w:rFonts w:ascii="Times New Roman" w:hAnsi="Times New Roman" w:cs="Times New Roman" w:eastAsia="Times New Roman"/>
        <w:sz w:val="18"/>
      </w:rPr>
      <w:t>DEFENDANT'S ANSWER, AFFIRMATIVE DEFENSES, AND COUNTERCLAIM [EXCERPTS]</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Rule="exact" w:line="40" w:before="0" w:after="0"/>
    </w:pPr>
    <w:r>
      <w:pict>
        <v:shapetype id="_x0000_t202" coordsize="21600,21600" o:spt="202" path="m,l,21600r21600,l21600,xe">
          <v:stroke joinstyle="miter"/>
          <v:path gradientshapeok="t" o:connecttype="rect"/>
        </v:shapetype>
        <v:shape id="PleadingLineNumbers" o:spid="_x0000_s1025" type="#_x0000_t202" filled="f" stroked="f" style="position:absolute;margin-left:0.8in;margin-top:1in;width:0.5in;height:672pt;z-index:-251657216;mso-position-horizontal-relative:page;mso-position-vertical-relative:page">
          <v:textbox inset="0,0,0,0">
            <w:txbxContent>
              <w:p>
                <w:pPr>
                  <w:spacing w:before="0" w:after="0" w:line="480" w:lineRule="exact"/>
                  <w:jc w:val="right"/>
                </w:pPr>
                <w:r>
                  <w:rPr>
                    <w:rFonts w:ascii="Times New Roman" w:hAnsi="Times New Roman" w:cs="Times New Roman"/>
                    <w:sz w:val="24"/>
                  </w:rPr>
                  <w:t>1</w:t>
                </w:r>
              </w:p>
              <w:p>
                <w:pPr>
                  <w:spacing w:before="0" w:after="0" w:line="480" w:lineRule="exact"/>
                  <w:jc w:val="right"/>
                </w:pPr>
                <w:r>
                  <w:rPr>
                    <w:rFonts w:ascii="Times New Roman" w:hAnsi="Times New Roman" w:cs="Times New Roman"/>
                    <w:sz w:val="24"/>
                  </w:rPr>
                  <w:t>2</w:t>
                </w:r>
              </w:p>
              <w:p>
                <w:pPr>
                  <w:spacing w:before="0" w:after="0" w:line="480" w:lineRule="exact"/>
                  <w:jc w:val="right"/>
                </w:pPr>
                <w:r>
                  <w:rPr>
                    <w:rFonts w:ascii="Times New Roman" w:hAnsi="Times New Roman" w:cs="Times New Roman"/>
                    <w:sz w:val="24"/>
                  </w:rPr>
                  <w:t>3</w:t>
                </w:r>
              </w:p>
              <w:p>
                <w:pPr>
                  <w:spacing w:before="0" w:after="0" w:line="480" w:lineRule="exact"/>
                  <w:jc w:val="right"/>
                </w:pPr>
                <w:r>
                  <w:rPr>
                    <w:rFonts w:ascii="Times New Roman" w:hAnsi="Times New Roman" w:cs="Times New Roman"/>
                    <w:sz w:val="24"/>
                  </w:rPr>
                  <w:t>4</w:t>
                </w:r>
              </w:p>
              <w:p>
                <w:pPr>
                  <w:spacing w:before="0" w:after="0" w:line="480" w:lineRule="exact"/>
                  <w:jc w:val="right"/>
                </w:pPr>
                <w:r>
                  <w:rPr>
                    <w:rFonts w:ascii="Times New Roman" w:hAnsi="Times New Roman" w:cs="Times New Roman"/>
                    <w:sz w:val="24"/>
                  </w:rPr>
                  <w:t>5</w:t>
                </w:r>
              </w:p>
              <w:p>
                <w:pPr>
                  <w:spacing w:before="0" w:after="0" w:line="480" w:lineRule="exact"/>
                  <w:jc w:val="right"/>
                </w:pPr>
                <w:r>
                  <w:rPr>
                    <w:rFonts w:ascii="Times New Roman" w:hAnsi="Times New Roman" w:cs="Times New Roman"/>
                    <w:sz w:val="24"/>
                  </w:rPr>
                  <w:t>6</w:t>
                </w:r>
              </w:p>
              <w:p>
                <w:pPr>
                  <w:spacing w:before="0" w:after="0" w:line="480" w:lineRule="exact"/>
                  <w:jc w:val="right"/>
                </w:pPr>
                <w:r>
                  <w:rPr>
                    <w:rFonts w:ascii="Times New Roman" w:hAnsi="Times New Roman" w:cs="Times New Roman"/>
                    <w:sz w:val="24"/>
                  </w:rPr>
                  <w:t>7</w:t>
                </w:r>
              </w:p>
              <w:p>
                <w:pPr>
                  <w:spacing w:before="0" w:after="0" w:line="480" w:lineRule="exact"/>
                  <w:jc w:val="right"/>
                </w:pPr>
                <w:r>
                  <w:rPr>
                    <w:rFonts w:ascii="Times New Roman" w:hAnsi="Times New Roman" w:cs="Times New Roman"/>
                    <w:sz w:val="24"/>
                  </w:rPr>
                  <w:t>8</w:t>
                </w:r>
              </w:p>
              <w:p>
                <w:pPr>
                  <w:spacing w:before="0" w:after="0" w:line="480" w:lineRule="exact"/>
                  <w:jc w:val="right"/>
                </w:pPr>
                <w:r>
                  <w:rPr>
                    <w:rFonts w:ascii="Times New Roman" w:hAnsi="Times New Roman" w:cs="Times New Roman"/>
                    <w:sz w:val="24"/>
                  </w:rPr>
                  <w:t>9</w:t>
                </w:r>
              </w:p>
              <w:p>
                <w:pPr>
                  <w:spacing w:before="0" w:after="0" w:line="480" w:lineRule="exact"/>
                  <w:jc w:val="right"/>
                </w:pPr>
                <w:r>
                  <w:rPr>
                    <w:rFonts w:ascii="Times New Roman" w:hAnsi="Times New Roman" w:cs="Times New Roman"/>
                    <w:sz w:val="24"/>
                  </w:rPr>
                  <w:t>10</w:t>
                </w:r>
              </w:p>
              <w:p>
                <w:pPr>
                  <w:spacing w:before="0" w:after="0" w:line="480" w:lineRule="exact"/>
                  <w:jc w:val="right"/>
                </w:pPr>
                <w:r>
                  <w:rPr>
                    <w:rFonts w:ascii="Times New Roman" w:hAnsi="Times New Roman" w:cs="Times New Roman"/>
                    <w:sz w:val="24"/>
                  </w:rPr>
                  <w:t>11</w:t>
                </w:r>
              </w:p>
              <w:p>
                <w:pPr>
                  <w:spacing w:before="0" w:after="0" w:line="480" w:lineRule="exact"/>
                  <w:jc w:val="right"/>
                </w:pPr>
                <w:r>
                  <w:rPr>
                    <w:rFonts w:ascii="Times New Roman" w:hAnsi="Times New Roman" w:cs="Times New Roman"/>
                    <w:sz w:val="24"/>
                  </w:rPr>
                  <w:t>12</w:t>
                </w:r>
              </w:p>
              <w:p>
                <w:pPr>
                  <w:spacing w:before="0" w:after="0" w:line="480" w:lineRule="exact"/>
                  <w:jc w:val="right"/>
                </w:pPr>
                <w:r>
                  <w:rPr>
                    <w:rFonts w:ascii="Times New Roman" w:hAnsi="Times New Roman" w:cs="Times New Roman"/>
                    <w:sz w:val="24"/>
                  </w:rPr>
                  <w:t>13</w:t>
                </w:r>
              </w:p>
              <w:p>
                <w:pPr>
                  <w:spacing w:before="0" w:after="0" w:line="480" w:lineRule="exact"/>
                  <w:jc w:val="right"/>
                </w:pPr>
                <w:r>
                  <w:rPr>
                    <w:rFonts w:ascii="Times New Roman" w:hAnsi="Times New Roman" w:cs="Times New Roman"/>
                    <w:sz w:val="24"/>
                  </w:rPr>
                  <w:t>14</w:t>
                </w:r>
              </w:p>
              <w:p>
                <w:pPr>
                  <w:spacing w:before="0" w:after="0" w:line="480" w:lineRule="exact"/>
                  <w:jc w:val="right"/>
                </w:pPr>
                <w:r>
                  <w:rPr>
                    <w:rFonts w:ascii="Times New Roman" w:hAnsi="Times New Roman" w:cs="Times New Roman"/>
                    <w:sz w:val="24"/>
                  </w:rPr>
                  <w:t>15</w:t>
                </w:r>
              </w:p>
              <w:p>
                <w:pPr>
                  <w:spacing w:before="0" w:after="0" w:line="480" w:lineRule="exact"/>
                  <w:jc w:val="right"/>
                </w:pPr>
                <w:r>
                  <w:rPr>
                    <w:rFonts w:ascii="Times New Roman" w:hAnsi="Times New Roman" w:cs="Times New Roman"/>
                    <w:sz w:val="24"/>
                  </w:rPr>
                  <w:t>16</w:t>
                </w:r>
              </w:p>
              <w:p>
                <w:pPr>
                  <w:spacing w:before="0" w:after="0" w:line="480" w:lineRule="exact"/>
                  <w:jc w:val="right"/>
                </w:pPr>
                <w:r>
                  <w:rPr>
                    <w:rFonts w:ascii="Times New Roman" w:hAnsi="Times New Roman" w:cs="Times New Roman"/>
                    <w:sz w:val="24"/>
                  </w:rPr>
                  <w:t>17</w:t>
                </w:r>
              </w:p>
              <w:p>
                <w:pPr>
                  <w:spacing w:before="0" w:after="0" w:line="480" w:lineRule="exact"/>
                  <w:jc w:val="right"/>
                </w:pPr>
                <w:r>
                  <w:rPr>
                    <w:rFonts w:ascii="Times New Roman" w:hAnsi="Times New Roman" w:cs="Times New Roman"/>
                    <w:sz w:val="24"/>
                  </w:rPr>
                  <w:t>18</w:t>
                </w:r>
              </w:p>
              <w:p>
                <w:pPr>
                  <w:spacing w:before="0" w:after="0" w:line="480" w:lineRule="exact"/>
                  <w:jc w:val="right"/>
                </w:pPr>
                <w:r>
                  <w:rPr>
                    <w:rFonts w:ascii="Times New Roman" w:hAnsi="Times New Roman" w:cs="Times New Roman"/>
                    <w:sz w:val="24"/>
                  </w:rPr>
                  <w:t>19</w:t>
                </w:r>
              </w:p>
              <w:p>
                <w:pPr>
                  <w:spacing w:before="0" w:after="0" w:line="480" w:lineRule="exact"/>
                  <w:jc w:val="right"/>
                </w:pPr>
                <w:r>
                  <w:rPr>
                    <w:rFonts w:ascii="Times New Roman" w:hAnsi="Times New Roman" w:cs="Times New Roman"/>
                    <w:sz w:val="24"/>
                  </w:rPr>
                  <w:t>20</w:t>
                </w:r>
              </w:p>
              <w:p>
                <w:pPr>
                  <w:spacing w:before="0" w:after="0" w:line="480" w:lineRule="exact"/>
                  <w:jc w:val="right"/>
                </w:pPr>
                <w:r>
                  <w:rPr>
                    <w:rFonts w:ascii="Times New Roman" w:hAnsi="Times New Roman" w:cs="Times New Roman"/>
                    <w:sz w:val="24"/>
                  </w:rPr>
                  <w:t>21</w:t>
                </w:r>
              </w:p>
              <w:p>
                <w:pPr>
                  <w:spacing w:before="0" w:after="0" w:line="480" w:lineRule="exact"/>
                  <w:jc w:val="right"/>
                </w:pPr>
                <w:r>
                  <w:rPr>
                    <w:rFonts w:ascii="Times New Roman" w:hAnsi="Times New Roman" w:cs="Times New Roman"/>
                    <w:sz w:val="24"/>
                  </w:rPr>
                  <w:t>22</w:t>
                </w:r>
              </w:p>
              <w:p>
                <w:pPr>
                  <w:spacing w:before="0" w:after="0" w:line="480" w:lineRule="exact"/>
                  <w:jc w:val="right"/>
                </w:pPr>
                <w:r>
                  <w:rPr>
                    <w:rFonts w:ascii="Times New Roman" w:hAnsi="Times New Roman" w:cs="Times New Roman"/>
                    <w:sz w:val="24"/>
                  </w:rPr>
                  <w:t>23</w:t>
                </w:r>
              </w:p>
              <w:p>
                <w:pPr>
                  <w:spacing w:before="0" w:after="0" w:line="480" w:lineRule="exact"/>
                  <w:jc w:val="right"/>
                </w:pPr>
                <w:r>
                  <w:rPr>
                    <w:rFonts w:ascii="Times New Roman" w:hAnsi="Times New Roman" w:cs="Times New Roman"/>
                    <w:sz w:val="24"/>
                  </w:rPr>
                  <w:t>24</w:t>
                </w:r>
              </w:p>
              <w:p>
                <w:pPr>
                  <w:spacing w:before="0" w:after="0" w:line="480" w:lineRule="exact"/>
                  <w:jc w:val="right"/>
                </w:pPr>
                <w:r>
                  <w:rPr>
                    <w:rFonts w:ascii="Times New Roman" w:hAnsi="Times New Roman" w:cs="Times New Roman"/>
                    <w:sz w:val="24"/>
                  </w:rPr>
                  <w:t>25</w:t>
                </w:r>
              </w:p>
              <w:p>
                <w:pPr>
                  <w:spacing w:before="0" w:after="0" w:line="480" w:lineRule="exact"/>
                  <w:jc w:val="right"/>
                </w:pPr>
                <w:r>
                  <w:rPr>
                    <w:rFonts w:ascii="Times New Roman" w:hAnsi="Times New Roman" w:cs="Times New Roman"/>
                    <w:sz w:val="24"/>
                  </w:rPr>
                  <w:t>26</w:t>
                </w:r>
              </w:p>
              <w:p>
                <w:pPr>
                  <w:spacing w:before="0" w:after="0" w:line="480" w:lineRule="exact"/>
                  <w:jc w:val="right"/>
                </w:pPr>
                <w:r>
                  <w:rPr>
                    <w:rFonts w:ascii="Times New Roman" w:hAnsi="Times New Roman" w:cs="Times New Roman"/>
                    <w:sz w:val="24"/>
                  </w:rPr>
                  <w:t>27</w:t>
                </w:r>
              </w:p>
              <w:p>
                <w:pPr>
                  <w:spacing w:before="0" w:after="0" w:line="480" w:lineRule="exact"/>
                  <w:jc w:val="right"/>
                </w:pPr>
                <w:r>
                  <w:rPr>
                    <w:rFonts w:ascii="Times New Roman" w:hAnsi="Times New Roman" w:cs="Times New Roman"/>
                    <w:sz w:val="24"/>
                  </w:rPr>
                  <w:t>28</w:t>
                </w:r>
              </w:p>
            </w:txbxContent>
          </v:textbox>
        </v:shape>
      </w:pic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tabs>
          <w:tab w:val="num" w:pos="1440"/>
        </w:tabs>
        <w:ind w:left="0" w:firstLine="72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tabs>
          <w:tab w:val="num" w:pos="1440"/>
        </w:tabs>
        <w:ind w:left="0" w:firstLine="72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abstractNum w:abstractNumId="99205">
    <w:nsid w:val="A99205"/>
    <w:multiLevelType w:val="multilevel"/>
    <w:lvl w:ilvl="0">
      <w:start w:val="5"/>
      <w:numFmt w:val="decimal"/>
      <w:lvlText w:val="%1."/>
      <w:lvlJc w:val="left"/>
      <w:pPr>
        <w:tabs>
          <w:tab w:val="num" w:pos="1440"/>
        </w:tabs>
        <w:ind w:left="0" w:firstLine="72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abstractNum w:abstractNumId="99206">
    <w:nsid w:val="A99206"/>
    <w:multiLevelType w:val="multilevel"/>
    <w:lvl w:ilvl="0">
      <w:start w:val="6"/>
      <w:numFmt w:val="decimal"/>
      <w:lvlText w:val="%1."/>
      <w:lvlJc w:val="left"/>
      <w:pPr>
        <w:tabs>
          <w:tab w:val="num" w:pos="1440"/>
        </w:tabs>
        <w:ind w:left="0" w:firstLine="720"/>
      </w:pPr>
    </w:lvl>
    <w:lvl w:ilvl="1">
      <w:start w:val="6"/>
      <w:numFmt w:val="lowerLetter"/>
      <w:lvlText w:val="%2."/>
      <w:lvlJc w:val="left"/>
      <w:pPr>
        <w:ind w:left="1440" w:hanging="480"/>
      </w:pPr>
    </w:lvl>
    <w:lvl w:ilvl="2">
      <w:start w:val="6"/>
      <w:numFmt w:val="lowerRoman"/>
      <w:lvlText w:val="%3."/>
      <w:lvlJc w:val="left"/>
      <w:pPr>
        <w:ind w:left="2160" w:hanging="480"/>
      </w:pPr>
    </w:lvl>
    <w:lvl w:ilvl="3">
      <w:start w:val="6"/>
      <w:numFmt w:val="decimal"/>
      <w:lvlText w:val="%4."/>
      <w:lvlJc w:val="left"/>
      <w:pPr>
        <w:ind w:left="2880" w:hanging="480"/>
      </w:pPr>
    </w:lvl>
    <w:lvl w:ilvl="4">
      <w:start w:val="6"/>
      <w:numFmt w:val="lowerLetter"/>
      <w:lvlText w:val="%5."/>
      <w:lvlJc w:val="left"/>
      <w:pPr>
        <w:ind w:left="3600" w:hanging="480"/>
      </w:pPr>
    </w:lvl>
    <w:lvl w:ilvl="5">
      <w:start w:val="6"/>
      <w:numFmt w:val="lowerRoman"/>
      <w:lvlText w:val="%6."/>
      <w:lvlJc w:val="left"/>
      <w:pPr>
        <w:ind w:left="4320" w:hanging="480"/>
      </w:pPr>
    </w:lvl>
    <w:lvl w:ilvl="6">
      <w:start w:val="6"/>
      <w:numFmt w:val="decimal"/>
      <w:lvlText w:val="%7."/>
      <w:lvlJc w:val="left"/>
      <w:pPr>
        <w:ind w:left="5040" w:hanging="480"/>
      </w:pPr>
    </w:lvl>
    <w:lvl w:ilvl="7">
      <w:start w:val="6"/>
      <w:numFmt w:val="lowerLetter"/>
      <w:lvlText w:val="%8."/>
      <w:lvlJc w:val="left"/>
      <w:pPr>
        <w:ind w:left="5760" w:hanging="480"/>
      </w:pPr>
    </w:lvl>
    <w:lvl w:ilvl="8">
      <w:start w:val="6"/>
      <w:numFmt w:val="lowerRoman"/>
      <w:lvlText w:val="%9."/>
      <w:lvlJc w:val="left"/>
      <w:pPr>
        <w:ind w:left="6480" w:hanging="480"/>
      </w:pPr>
    </w:lvl>
  </w:abstractNum>
  <w:abstractNum w:abstractNumId="99207">
    <w:nsid w:val="A99207"/>
    <w:multiLevelType w:val="multilevel"/>
    <w:lvl w:ilvl="0">
      <w:start w:val="7"/>
      <w:numFmt w:val="decimal"/>
      <w:lvlText w:val="%1."/>
      <w:lvlJc w:val="left"/>
      <w:pPr>
        <w:tabs>
          <w:tab w:val="num" w:pos="1440"/>
        </w:tabs>
        <w:ind w:left="0" w:firstLine="720"/>
      </w:pPr>
    </w:lvl>
    <w:lvl w:ilvl="1">
      <w:start w:val="7"/>
      <w:numFmt w:val="lowerLetter"/>
      <w:lvlText w:val="%2."/>
      <w:lvlJc w:val="left"/>
      <w:pPr>
        <w:ind w:left="1440" w:hanging="480"/>
      </w:pPr>
    </w:lvl>
    <w:lvl w:ilvl="2">
      <w:start w:val="7"/>
      <w:numFmt w:val="lowerRoman"/>
      <w:lvlText w:val="%3."/>
      <w:lvlJc w:val="left"/>
      <w:pPr>
        <w:ind w:left="2160" w:hanging="480"/>
      </w:pPr>
    </w:lvl>
    <w:lvl w:ilvl="3">
      <w:start w:val="7"/>
      <w:numFmt w:val="decimal"/>
      <w:lvlText w:val="%4."/>
      <w:lvlJc w:val="left"/>
      <w:pPr>
        <w:ind w:left="2880" w:hanging="480"/>
      </w:pPr>
    </w:lvl>
    <w:lvl w:ilvl="4">
      <w:start w:val="7"/>
      <w:numFmt w:val="lowerLetter"/>
      <w:lvlText w:val="%5."/>
      <w:lvlJc w:val="left"/>
      <w:pPr>
        <w:ind w:left="3600" w:hanging="480"/>
      </w:pPr>
    </w:lvl>
    <w:lvl w:ilvl="5">
      <w:start w:val="7"/>
      <w:numFmt w:val="lowerRoman"/>
      <w:lvlText w:val="%6."/>
      <w:lvlJc w:val="left"/>
      <w:pPr>
        <w:ind w:left="4320" w:hanging="480"/>
      </w:pPr>
    </w:lvl>
    <w:lvl w:ilvl="6">
      <w:start w:val="7"/>
      <w:numFmt w:val="decimal"/>
      <w:lvlText w:val="%7."/>
      <w:lvlJc w:val="left"/>
      <w:pPr>
        <w:ind w:left="5040" w:hanging="480"/>
      </w:pPr>
    </w:lvl>
    <w:lvl w:ilvl="7">
      <w:start w:val="7"/>
      <w:numFmt w:val="lowerLetter"/>
      <w:lvlText w:val="%8."/>
      <w:lvlJc w:val="left"/>
      <w:pPr>
        <w:ind w:left="5760" w:hanging="480"/>
      </w:pPr>
    </w:lvl>
    <w:lvl w:ilvl="8">
      <w:start w:val="7"/>
      <w:numFmt w:val="lowerRoman"/>
      <w:lvlText w:val="%9."/>
      <w:lvlJc w:val="left"/>
      <w:pPr>
        <w:ind w:left="6480" w:hanging="480"/>
      </w:pPr>
    </w:lvl>
  </w:abstractNum>
  <w:abstractNum w:abstractNumId="99208">
    <w:nsid w:val="A99208"/>
    <w:multiLevelType w:val="multilevel"/>
    <w:lvl w:ilvl="0">
      <w:start w:val="8"/>
      <w:numFmt w:val="decimal"/>
      <w:lvlText w:val="%1."/>
      <w:lvlJc w:val="left"/>
      <w:pPr>
        <w:tabs>
          <w:tab w:val="num" w:pos="1440"/>
        </w:tabs>
        <w:ind w:left="0" w:firstLine="720"/>
      </w:pPr>
    </w:lvl>
    <w:lvl w:ilvl="1">
      <w:start w:val="8"/>
      <w:numFmt w:val="lowerLetter"/>
      <w:lvlText w:val="%2."/>
      <w:lvlJc w:val="left"/>
      <w:pPr>
        <w:ind w:left="1440" w:hanging="480"/>
      </w:pPr>
    </w:lvl>
    <w:lvl w:ilvl="2">
      <w:start w:val="8"/>
      <w:numFmt w:val="lowerRoman"/>
      <w:lvlText w:val="%3."/>
      <w:lvlJc w:val="left"/>
      <w:pPr>
        <w:ind w:left="2160" w:hanging="480"/>
      </w:pPr>
    </w:lvl>
    <w:lvl w:ilvl="3">
      <w:start w:val="8"/>
      <w:numFmt w:val="decimal"/>
      <w:lvlText w:val="%4."/>
      <w:lvlJc w:val="left"/>
      <w:pPr>
        <w:ind w:left="2880" w:hanging="480"/>
      </w:pPr>
    </w:lvl>
    <w:lvl w:ilvl="4">
      <w:start w:val="8"/>
      <w:numFmt w:val="lowerLetter"/>
      <w:lvlText w:val="%5."/>
      <w:lvlJc w:val="left"/>
      <w:pPr>
        <w:ind w:left="3600" w:hanging="480"/>
      </w:pPr>
    </w:lvl>
    <w:lvl w:ilvl="5">
      <w:start w:val="8"/>
      <w:numFmt w:val="lowerRoman"/>
      <w:lvlText w:val="%6."/>
      <w:lvlJc w:val="left"/>
      <w:pPr>
        <w:ind w:left="4320" w:hanging="480"/>
      </w:pPr>
    </w:lvl>
    <w:lvl w:ilvl="6">
      <w:start w:val="8"/>
      <w:numFmt w:val="decimal"/>
      <w:lvlText w:val="%7."/>
      <w:lvlJc w:val="left"/>
      <w:pPr>
        <w:ind w:left="5040" w:hanging="480"/>
      </w:pPr>
    </w:lvl>
    <w:lvl w:ilvl="7">
      <w:start w:val="8"/>
      <w:numFmt w:val="lowerLetter"/>
      <w:lvlText w:val="%8."/>
      <w:lvlJc w:val="left"/>
      <w:pPr>
        <w:ind w:left="5760" w:hanging="480"/>
      </w:pPr>
    </w:lvl>
    <w:lvl w:ilvl="8">
      <w:start w:val="8"/>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4">
    <w:abstractNumId w:val="992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5">
    <w:abstractNumId w:val="992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6">
    <w:abstractNumId w:val="9920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auto"/>
    </w:pPr>
    <w:rPr>
      <w:rFonts w:ascii="Times New Roman" w:cs="Times New Roman" w:eastAsia="Times New Roman" w:hAnsi="Times New Roman"/>
      <w:color w:val="000000"/>
      <w:sz w:val="24"/>
    </w:rPr>
  </w:style>
  <w:style w:styleId="BodyText" w:type="paragraph">
    <w:name w:val="Body Text"/>
    <w:basedOn w:val="Normal"/>
    <w:link w:val="BodyTextChar"/>
    <w:pPr>
      <w:spacing w:after="0" w:before="0" w:line="240" w:lineRule="auto"/>
    </w:pPr>
    <w:qFormat/>
    <w:rPr>
      <w:rFonts w:ascii="Times New Roman" w:cs="Times New Roman" w:eastAsia="Times New Roman" w:hAnsi="Times New Roman"/>
      <w:color w:val="000000"/>
      <w:sz w:val="24"/>
    </w:rPr>
  </w:style>
  <w:style w:customStyle="1" w:styleId="FirstParagraph" w:type="paragraph">
    <w:name w:val="First Paragraph"/>
    <w:basedOn w:val="BodyText"/>
    <w:next w:val="BodyText"/>
    <w:qFormat/>
    <w:pPr>
      <w:spacing w:after="0" w:before="0" w:line="240" w:lineRule="auto"/>
    </w:pPr>
    <w:rPr>
      <w:rFonts w:ascii="Times New Roman" w:cs="Times New Roman" w:eastAsia="Times New Roman" w:hAnsi="Times New Roman"/>
      <w:color w:val="000000"/>
      <w:sz w:val="24"/>
    </w:rPr>
  </w:style>
  <w:style w:customStyle="1" w:styleId="Compact" w:type="paragraph">
    <w:name w:val="Compact"/>
    <w:basedOn w:val="BodyText"/>
    <w:qFormat/>
    <w:pPr>
      <w:spacing w:after="0" w:before="0" w:line="240" w:lineRule="auto"/>
    </w:pPr>
    <w:rPr>
      <w:rFonts w:ascii="Times New Roman" w:cs="Times New Roman" w:eastAsia="Times New Roman" w:hAnsi="Times New Roman"/>
      <w:color w:val="000000"/>
      <w:sz w:val="24"/>
    </w:rPr>
  </w:style>
  <w:style w:styleId="Title" w:type="paragraph">
    <w:name w:val="Title"/>
    <w:basedOn w:val="Normal"/>
    <w:next w:val="BodyText"/>
    <w:qFormat/>
    <w:pPr>
      <w:keepNext/>
      <w:keepLines/>
      <w:spacing w:after="160" w:before="480"/>
      <w:jc w:val="left"/>
    </w:pPr>
    <w:rPr>
      <w:rFonts w:ascii="Times New Roman" w:cs="Times New Roman" w:eastAsia="Times New Roman" w:hAnsi="Times New Roman"/>
      <w:b/>
      <w:bCs/>
      <w:color w:val="1A2B3C"/>
      <w:sz w:val="40"/>
      <w:szCs w:val="36"/>
    </w:rPr>
  </w:style>
  <w:style w:styleId="Subtitle" w:type="paragraph">
    <w:name w:val="Subtitle"/>
    <w:basedOn w:val="Title"/>
    <w:next w:val="BodyText"/>
    <w:qFormat/>
    <w:pPr>
      <w:keepNext/>
      <w:keepLines/>
      <w:spacing w:after="160" w:before="240"/>
      <w:jc w:val="left"/>
    </w:pPr>
    <w:rPr>
      <w:rFonts w:ascii="Times New Roman" w:cs="Times New Roman" w:eastAsia="Times New Roman" w:hAnsi="Times New Roman"/>
      <w:color w:val="1A2B3C"/>
      <w:sz w:val="22"/>
      <w:szCs w:val="30"/>
    </w:rPr>
  </w:style>
  <w:style w:customStyle="1" w:styleId="Author" w:type="paragraph">
    <w:name w:val="Author"/>
    <w:next w:val="BodyText"/>
    <w:qFormat/>
    <w:pPr>
      <w:keepNext/>
      <w:keepLines/>
      <w:jc w:val="center"/>
    </w:pPr>
    <w:rPr>
      <w:rFonts w:ascii="Times New Roman" w:cs="Times New Roman" w:eastAsia="Times New Roman" w:hAnsi="Times New Roman"/>
      <w:color w:val="000000"/>
    </w:rPr>
  </w:style>
  <w:style w:styleId="Date" w:type="paragraph">
    <w:name w:val="Date"/>
    <w:next w:val="BodyText"/>
    <w:qFormat/>
    <w:pPr>
      <w:keepNext/>
      <w:keepLines/>
      <w:jc w:val="center"/>
    </w:pPr>
    <w:rPr>
      <w:rFonts w:ascii="Times New Roman" w:cs="Times New Roman" w:eastAsia="Times New Roman" w:hAnsi="Times New Roman"/>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Times New Roman" w:cs="Times New Roman" w:eastAsia="Times New Roman" w:hAnsi="Times New Roman"/>
      <w:b/>
    </w:rPr>
  </w:style>
  <w:style w:customStyle="1" w:styleId="Abstract" w:type="paragraph">
    <w:name w:val="Abstract"/>
    <w:basedOn w:val="Normal"/>
    <w:next w:val="BodyText"/>
    <w:qFormat/>
    <w:pPr>
      <w:keepNext/>
      <w:keepLines/>
      <w:spacing w:after="300" w:before="100"/>
    </w:pPr>
    <w:rPr>
      <w:rFonts w:ascii="Times New Roman" w:cs="Times New Roman" w:eastAsia="Times New Roman" w:hAnsi="Times New Roman"/>
      <w:color w:val="000000"/>
      <w:sz w:val="20"/>
      <w:szCs w:val="20"/>
    </w:rPr>
  </w:style>
  <w:style w:styleId="Bibliography" w:type="paragraph">
    <w:name w:val="Bibliography"/>
    <w:basedOn w:val="Normal"/>
    <w:next w:val="Bibliography"/>
    <w:qFormat/>
    <w:pPr/>
    <w:rPr>
      <w:rFonts w:ascii="Times New Roman" w:cs="Times New Roman" w:eastAsia="Times New Roman" w:hAnsi="Times New Roman"/>
      <w:color w:val="000000"/>
    </w:rPr>
  </w:style>
  <w:style w:styleId="Heading1" w:type="paragraph">
    <w:name w:val="Heading 1"/>
    <w:basedOn w:val="Normal"/>
    <w:next w:val="BodyText"/>
    <w:uiPriority w:val="9"/>
    <w:qFormat/>
    <w:pPr>
      <w:keepNext/>
      <w:keepLines/>
      <w:spacing w:after="120" w:before="280"/>
      <w:outlineLvl w:val="0"/>
    </w:pPr>
    <w:rPr>
      <w:rFonts w:ascii="Times New Roman" w:cs="Times New Roman" w:eastAsia="Times New Roman" w:hAnsi="Times New Roman"/>
      <w:b/>
      <w:bCs/>
      <w:i w:val="0"/>
      <w:color w:val="000000"/>
      <w:sz w:val="24"/>
      <w:szCs w:val="32"/>
    </w:rPr>
  </w:style>
  <w:style w:styleId="Heading2" w:type="paragraph">
    <w:name w:val="Heading 2"/>
    <w:basedOn w:val="Normal"/>
    <w:next w:val="BodyText"/>
    <w:uiPriority w:val="9"/>
    <w:unhideWhenUsed/>
    <w:qFormat/>
    <w:pPr>
      <w:keepNext/>
      <w:keepLines/>
      <w:spacing w:after="120" w:before="200"/>
      <w:outlineLvl w:val="1"/>
    </w:pPr>
    <w:rPr>
      <w:rFonts w:ascii="Times New Roman" w:cs="Times New Roman" w:eastAsia="Times New Roman" w:hAnsi="Times New Roman"/>
      <w:b/>
      <w:bCs/>
      <w:i w:val="0"/>
      <w:color w:val="000000"/>
      <w:sz w:val="24"/>
      <w:szCs w:val="28"/>
    </w:rPr>
  </w:style>
  <w:style w:styleId="Heading3" w:type="paragraph">
    <w:name w:val="Heading 3"/>
    <w:basedOn w:val="Normal"/>
    <w:next w:val="BodyText"/>
    <w:uiPriority w:val="9"/>
    <w:unhideWhenUsed/>
    <w:qFormat/>
    <w:pPr>
      <w:keepNext/>
      <w:keepLines/>
      <w:spacing w:after="120" w:before="200"/>
      <w:outlineLvl w:val="2"/>
    </w:pPr>
    <w:rPr>
      <w:rFonts w:ascii="Times New Roman" w:cs="Times New Roman" w:eastAsia="Times New Roman" w:hAnsi="Times New Roman"/>
      <w:b/>
      <w:bCs/>
      <w:i w:val="0"/>
      <w:color w:val="000000"/>
      <w:sz w:val="24"/>
      <w:szCs w:val="24"/>
    </w:rPr>
  </w:style>
  <w:style w:styleId="Heading4" w:type="paragraph">
    <w:name w:val="Heading 4"/>
    <w:basedOn w:val="Normal"/>
    <w:next w:val="BodyText"/>
    <w:uiPriority w:val="9"/>
    <w:unhideWhenUsed/>
    <w:qFormat/>
    <w:pPr>
      <w:keepNext/>
      <w:keepLines/>
      <w:spacing w:after="120" w:before="200"/>
      <w:outlineLvl w:val="3"/>
    </w:pPr>
    <w:rPr>
      <w:rFonts w:ascii="Times New Roman" w:cs="Times New Roman" w:eastAsia="Times New Roman" w:hAnsi="Times New Roman"/>
      <w:i w:val="0"/>
      <w:b/>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imes New Roman" w:cs="Times New Roman" w:eastAsia="Times New Roman" w:hAnsi="Times New Roman"/>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imes New Roman" w:cs="Times New Roman" w:eastAsia="Times New Roman" w:hAnsi="Times New Roman"/>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imes New Roman" w:cs="Times New Roman" w:eastAsia="Times New Roman" w:hAnsi="Times New Roman"/>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imes New Roman" w:cs="Times New Roman" w:eastAsia="Times New Roman" w:hAnsi="Times New Roman"/>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imes New Roman" w:cs="Times New Roman" w:eastAsia="Times New Roman" w:hAnsi="Times New Roman"/>
      <w:color w:val="000000"/>
      <w:sz w:val="24"/>
      <w:szCs w:val="24"/>
    </w:rPr>
  </w:style>
  <w:style w:styleId="BlockText" w:type="paragraph">
    <w:name w:val="Block Text"/>
    <w:basedOn w:val="BodyText"/>
    <w:next w:val="BodyText"/>
    <w:uiPriority w:val="9"/>
    <w:unhideWhenUsed/>
    <w:qFormat/>
    <w:pPr>
      <w:spacing w:after="0" w:before="0" w:line="240" w:lineRule="auto"/>
      <w:ind w:firstLine="0" w:left="720" w:right="720"/>
    </w:pPr>
    <w:rPr>
      <w:rFonts w:ascii="Times New Roman" w:cs="Times New Roman" w:eastAsia="Times New Roman" w:hAnsi="Times New Roman"/>
      <w:color w:val="000000"/>
      <w:sz w:val="24"/>
    </w:rPr>
  </w:style>
  <w:style w:styleId="FootnoteText" w:type="paragraph">
    <w:name w:val="Footnote Text"/>
    <w:basedOn w:val="Normal"/>
    <w:next w:val="FootnoteText"/>
    <w:uiPriority w:val="9"/>
    <w:unhideWhenUsed/>
    <w:qFormat/>
    <w:rPr>
      <w:rFonts w:ascii="Times New Roman" w:cs="Times New Roman" w:eastAsia="Times New Roman" w:hAnsi="Times New Roman"/>
      <w:color w:val="000000"/>
    </w:rPr>
  </w:style>
  <w:style w:default="1" w:styleId="DefaultParagraphFont" w:type="character">
    <w:name w:val="Default Paragraph Font"/>
    <w:semiHidden/>
    <w:unhideWhenUsed/>
    <w:rPr>
      <w:rFonts w:ascii="Times New Roman" w:cs="Times New Roman" w:eastAsia="Times New Roman" w:hAnsi="Times New Roman"/>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Times New Roman" w:cs="Times New Roman" w:eastAsia="Times New Roman" w:hAnsi="Times New Roman"/>
      <w:b/>
      <w:color w:val="000000"/>
    </w:rPr>
  </w:style>
  <w:style w:customStyle="1" w:styleId="Definition" w:type="paragraph">
    <w:name w:val="Definition"/>
    <w:basedOn w:val="Normal"/>
    <w:rPr>
      <w:rFonts w:ascii="Times New Roman" w:cs="Times New Roman" w:eastAsia="Times New Roman" w:hAnsi="Times New Roman"/>
      <w:color w:val="000000"/>
    </w:rPr>
  </w:style>
  <w:style w:styleId="Caption" w:type="paragraph">
    <w:name w:val="Caption"/>
    <w:basedOn w:val="Normal"/>
    <w:link w:val="BodyTextChar"/>
    <w:pPr>
      <w:spacing w:after="120" w:before="0"/>
    </w:pPr>
    <w:rPr>
      <w:rFonts w:ascii="Times New Roman" w:cs="Times New Roman" w:eastAsia="Times New Roman" w:hAnsi="Times New Roman"/>
      <w:i/>
      <w:color w:val="000000"/>
    </w:rPr>
  </w:style>
  <w:style w:customStyle="1" w:styleId="TableCaption" w:type="paragraph">
    <w:name w:val="Table Caption"/>
    <w:basedOn w:val="Caption"/>
    <w:pPr>
      <w:keepNext/>
    </w:pPr>
    <w:rPr>
      <w:rFonts w:ascii="Times New Roman" w:cs="Times New Roman" w:eastAsia="Times New Roman" w:hAnsi="Times New Roman"/>
      <w:color w:val="000000"/>
    </w:rPr>
  </w:style>
  <w:style w:customStyle="1" w:styleId="ImageCaption" w:type="paragraph">
    <w:name w:val="Image Caption"/>
    <w:basedOn w:val="Caption"/>
    <w:rPr>
      <w:rFonts w:ascii="Times New Roman" w:cs="Times New Roman" w:eastAsia="Times New Roman" w:hAnsi="Times New Roman"/>
      <w:color w:val="000000"/>
    </w:rPr>
  </w:style>
  <w:style w:customStyle="1" w:styleId="Figure" w:type="paragraph">
    <w:name w:val="Figure"/>
    <w:basedOn w:val="Normal"/>
    <w:rPr>
      <w:rFonts w:ascii="Times New Roman" w:cs="Times New Roman" w:eastAsia="Times New Roman" w:hAnsi="Times New Roman"/>
      <w:color w:val="000000"/>
    </w:rPr>
  </w:style>
  <w:style w:customStyle="1" w:styleId="CaptionedFigure" w:type="paragraph">
    <w:name w:val="Captioned Figure"/>
    <w:basedOn w:val="Figure"/>
    <w:pPr>
      <w:keepNext/>
    </w:pPr>
    <w:rPr>
      <w:rFonts w:ascii="Times New Roman" w:cs="Times New Roman" w:eastAsia="Times New Roman" w:hAnsi="Times New Roman"/>
      <w:color w:val="000000"/>
    </w:rPr>
  </w:style>
  <w:style w:customStyle="1" w:styleId="BodyTextChar" w:type="character">
    <w:name w:val="Body Text Char"/>
    <w:basedOn w:val="DefaultParagraphFont"/>
    <w:link w:val="BodyText"/>
    <w:rPr>
      <w:rFonts w:ascii="Times New Roman" w:cs="Times New Roman" w:eastAsia="Times New Roman" w:hAnsi="Times New Roman"/>
      <w:color w:val="000000"/>
    </w:rPr>
  </w:style>
  <w:style w:customStyle="1" w:styleId="VerbatimChar" w:type="character">
    <w:name w:val="Verbatim Char"/>
    <w:basedOn w:val="BodyTextChar"/>
    <w:rPr>
      <w:rFonts w:ascii="Times New Roman" w:cs="Times New Roman" w:eastAsia="Times New Roman" w:hAnsi="Times New Roman"/>
      <w:color w:val="000000"/>
      <w:sz w:val="22"/>
    </w:rPr>
  </w:style>
  <w:style w:customStyle="1" w:styleId="SectionNumber" w:type="character">
    <w:name w:val="Section Number"/>
    <w:basedOn w:val="BodyTextChar"/>
    <w:rPr>
      <w:rFonts w:ascii="Times New Roman" w:cs="Times New Roman" w:eastAsia="Times New Roman" w:hAnsi="Times New Roman"/>
      <w:color w:val="000000"/>
    </w:rPr>
  </w:style>
  <w:style w:styleId="FootnoteReference" w:type="character">
    <w:name w:val="Footnote Reference"/>
    <w:basedOn w:val="BodyTextChar"/>
    <w:rPr>
      <w:rFonts w:ascii="Times New Roman" w:cs="Times New Roman" w:eastAsia="Times New Roman" w:hAnsi="Times New Roman"/>
      <w:color w:val="000000"/>
      <w:vertAlign w:val="superscript"/>
    </w:rPr>
  </w:style>
  <w:style w:styleId="Hyperlink" w:type="character">
    <w:name w:val="Hyperlink"/>
    <w:basedOn w:val="BodyTextChar"/>
    <w:rPr>
      <w:rFonts w:ascii="Times New Roman" w:cs="Times New Roman" w:eastAsia="Times New Roman" w:hAnsi="Times New Roman"/>
      <w:color w:val="1F6E6E"/>
    </w:rPr>
  </w:style>
  <w:style w:styleId="TOCHeading" w:type="paragraph">
    <w:name w:val="TOC Heading"/>
    <w:basedOn w:val="Heading1"/>
    <w:next w:val="BodyText"/>
    <w:uiPriority w:val="39"/>
    <w:unhideWhenUsed/>
    <w:qFormat/>
    <w:pPr>
      <w:spacing w:before="240" w:line="259" w:lineRule="auto"/>
      <w:outlineLvl w:val="9"/>
    </w:pPr>
    <w:rPr>
      <w:rFonts w:ascii="Times New Roman" w:cs="Times New Roman" w:eastAsia="Times New Roman" w:hAnsi="Times New Roman"/>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1" Type="http://schemas.openxmlformats.org/officeDocument/2006/relationships/hyperlink" Target="https://nhilaw.com/forms/a1-1.html" TargetMode="External"/><Relationship Id="rId22" Type="http://schemas.openxmlformats.org/officeDocument/2006/relationships/hyperlink" Target="https://nhilaw.com/issues/e2.html" TargetMode="External"/><Relationship Id="rId20" Type="http://schemas.openxmlformats.org/officeDocument/2006/relationships/hyperlink" Target="https://nhilaw.com/issues/e6.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1" Type="http://schemas.openxmlformats.org/officeDocument/2006/relationships/hyperlink" Target="https://nhilaw.com/forms/a1-1.html" TargetMode="External"/><Relationship Id="rId22" Type="http://schemas.openxmlformats.org/officeDocument/2006/relationships/hyperlink" Target="https://nhilaw.com/issues/e2.html" TargetMode="External"/><Relationship Id="rId20" Type="http://schemas.openxmlformats.org/officeDocument/2006/relationships/hyperlink" Target="https://nhilaw.com/issues/e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E6-2. Affirmative Defenses and Counterclaim for Declaratory Judgment: Patent Claiming NHI-Derived Subject Matter</dc:title>
  <dc:creator>nhilaw.com</dc:creator>
  <cp:keywords/>
  <dcterms:created xsi:type="dcterms:W3CDTF">2026-10-19T03:14:36Z</dcterms:created>
  <dcterms:modified xsi:type="dcterms:W3CDTF">2026-10-19T03:14:36Z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