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suppressLineNumbers/>
      </w:pPr>
      <w:r>
        <w:rPr>
          <w:smallCaps/>
          <w:color w:val="1F6E6E"/>
          <w:sz w:val="18"/>
        </w:rPr>
        <w:t xml:space="preserve">nhilaw.com sample document</w:t>
      </w:r>
    </w:p>
    <w:bookmarkStart w:id="24" w:name="X0aadb37c68bc854c2404c690f4cbf96a8d16470"/>
    <w:p>
      <w:pPr>
        <w:pStyle w:val="Heading1"/>
        <w:suppressLineNumbers/>
      </w:pPr>
      <w:r>
        <w:t xml:space="preserve">Form E6-3. Model Statute: Patents and Technology Derived from Non-Human Intelligence</w:t>
      </w:r>
    </w:p>
    <w:p>
      <w:pPr>
        <w:pStyle w:val="FirstParagraph"/>
        <w:suppressLineNumbers/>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https://nhilaw.com/forms/e6-3.html</w:t>
      </w:r>
    </w:p>
    <w:p>
      <w:pPr>
        <w:pStyle w:val="BodyText"/>
        <w:suppressLineNumbers/>
        <w:spacing w:after="160" w:line="259" w:lineRule="auto"/>
      </w:pPr>
      <w:r>
        <w:rPr>
          <w:bCs/>
          <w:b/>
        </w:rPr>
        <w:t xml:space="preserve">Use.</w:t>
      </w:r>
      <w:r>
        <w:t xml:space="preserve"> </w:t>
      </w:r>
      <w:hyperlink r:id="rId20">
        <w:r>
          <w:rPr>
            <w:rStyle w:val="Hyperlink"/>
          </w:rPr>
          <w:t xml:space="preserve">Issue E6</w:t>
        </w:r>
      </w:hyperlink>
      <w:r>
        <w:t xml:space="preserve"> </w:t>
      </w:r>
      <w:r>
        <w:t xml:space="preserve">concludes that current law already bars a human from patenting a design conceived by a non-human</w:t>
      </w:r>
      <w:r>
        <w:t xml:space="preserve"> </w:t>
      </w:r>
      <w:r>
        <w:t xml:space="preserve">intelligence, but that the rule depends on classified facts, invites a filing race before disclosure, and says</w:t>
      </w:r>
      <w:r>
        <w:t xml:space="preserve"> </w:t>
      </w:r>
      <w:r>
        <w:t xml:space="preserve">nothing about public access to technology the government has studied. This model provision (1) requires a sworn</w:t>
      </w:r>
      <w:r>
        <w:t xml:space="preserve"> </w:t>
      </w:r>
      <w:r>
        <w:t xml:space="preserve">provenance statement modeled on the Atomic Energy Act’s patent provision (42 U.S.C. §2182), (2) codifies the bar</w:t>
      </w:r>
      <w:r>
        <w:t xml:space="preserve"> </w:t>
      </w:r>
      <w:r>
        <w:t xml:space="preserve">on patents for NHI-derived subject matter while preserving patents on human improvements, (3) gives the</w:t>
      </w:r>
      <w:r>
        <w:t xml:space="preserve"> </w:t>
      </w:r>
      <w:r>
        <w:t xml:space="preserve">government a closed procedure to object, (4) dedicates released NHI technology to the public with compulsory</w:t>
      </w:r>
      <w:r>
        <w:t xml:space="preserve"> </w:t>
      </w:r>
      <w:r>
        <w:t xml:space="preserve">licensing for blocking patents, and (5) requires reporting to Congress.</w:t>
      </w:r>
    </w:p>
    <w:p>
      <w:pPr>
        <w:pStyle w:val="BodyText"/>
        <w:suppressLineNumbers/>
        <w:spacing w:after="160" w:line="259" w:lineRule="auto"/>
      </w:pPr>
      <w:r>
        <w:rPr>
          <w:bCs/>
          <w:b/>
        </w:rPr>
        <w:t xml:space="preserve">When to use.</w:t>
      </w:r>
      <w:r>
        <w:t xml:space="preserve"> </w:t>
      </w:r>
      <w:r>
        <w:t xml:space="preserve">Legislators drafting patent rules for NHI-derived technology.</w:t>
      </w:r>
      <w:r>
        <w:t xml:space="preserve"> </w:t>
      </w:r>
      <w:r>
        <w:rPr>
          <w:bCs/>
          <w:b/>
        </w:rPr>
        <w:t xml:space="preserve">Not for:</w:t>
      </w:r>
      <w:r>
        <w:t xml:space="preserve"> </w:t>
      </w:r>
      <w:r>
        <w:t xml:space="preserve">Individual applications (</w:t>
      </w:r>
      <w:hyperlink r:id="rId21">
        <w:r>
          <w:rPr>
            <w:rStyle w:val="Hyperlink"/>
          </w:rPr>
          <w:t xml:space="preserve">Form E6-1</w:t>
        </w:r>
      </w:hyperlink>
      <w:r>
        <w:t xml:space="preserve">).</w:t>
      </w:r>
    </w:p>
    <w:p>
      <w:pPr>
        <w:pStyle w:val="BodyText"/>
        <w:suppressLineNumbers/>
        <w:spacing w:after="160" w:line="259" w:lineRule="auto"/>
      </w:pPr>
      <w:r>
        <w:rPr>
          <w:bCs/>
          <w:b/>
        </w:rPr>
        <w:t xml:space="preserve">Deadlines.</w:t>
      </w:r>
      <w:r>
        <w:t xml:space="preserve"> </w:t>
      </w:r>
      <w:r>
        <w:t xml:space="preserve">None.</w:t>
      </w:r>
    </w:p>
    <w:p>
      <w:pPr>
        <w:pStyle w:val="BodyText"/>
        <w:suppressLineNumbers/>
        <w:spacing w:lineRule="exact" w:line="40" w:before="0" w:after="0"/>
        <w:sectPr>
          <w:headerReference w:type="default" r:id="rId9"/>
          <w:footerReference w:type="default" r:id="rId10"/>
          <w:pgSz w:h="15840" w:w="12240"/>
          <w:pgMar w:bottom="1440" w:left="1440" w:right="1440" w:top="1440" w:header="720" w:footer="576"/>
        </w:sectPr>
      </w:pPr>
    </w:p>
    <w:tbl>
      <w:tblPr>
        <w:tblW w:type="auto" w:w="0"/>
        <w:tblLook w:firstColumn="1" w:firstRow="1" w:lastColumn="0" w:lastRow="0" w:noHBand="0" w:noVBand="1" w:val="04A0"/>
      </w:tblPr>
      <w:tblGrid>
        <w:gridCol w:w="4680"/>
        <w:gridCol w:w="4680"/>
      </w:tblGrid>
      <w:tr>
        <w:tc>
          <w:tcPr>
            <w:tcW w:type="dxa" w:w="4608"/>
          </w:tcPr>
          <w:p>
            <w:r>
              <w:rPr>
                <w:rFonts w:ascii="Century Schoolbook" w:hAnsi="Century Schoolbook" w:cs="Century Schoolbook" w:eastAsia="Century Schoolbook"/>
                <w:smallCaps/>
                <w:sz w:val="24"/>
              </w:rPr>
              <w:t>[___]TH CONGRESS</w:t>
            </w:r>
          </w:p>
          <w:p>
            <w:r>
              <w:rPr>
                <w:rFonts w:ascii="Century Schoolbook" w:hAnsi="Century Schoolbook" w:cs="Century Schoolbook" w:eastAsia="Century Schoolbook"/>
                <w:smallCaps/>
                <w:sz w:val="24"/>
              </w:rPr>
              <w:t>[___] SESSION</w:t>
            </w:r>
          </w:p>
        </w:tc>
        <w:tc>
          <w:tcPr>
            <w:tcW w:type="dxa" w:w="4752"/>
          </w:tcPr>
          <w:p>
            <w:pPr>
              <w:jc w:val="right"/>
            </w:pPr>
            <w:r>
              <w:rPr>
                <w:rFonts w:ascii="Century Schoolbook" w:hAnsi="Century Schoolbook" w:cs="Century Schoolbook" w:eastAsia="Century Schoolbook"/>
                <w:b/>
                <w:sz w:val="52"/>
              </w:rPr>
              <w:t>H. R. [____]</w:t>
            </w:r>
          </w:p>
        </w:tc>
      </w:tr>
    </w:tbl>
    <w:p>
      <w:pPr>
        <w:suppressLineNumbers/>
      </w:pPr>
    </w:p>
    <w:p>
      <w:pPr>
        <w:suppressLineNumbers/>
        <w:pBdr>
          <w:bottom w:val="single" w:sz="8" w:space="6" w:color="000000"/>
        </w:pBdr>
        <w:spacing w:before="200" w:after="200"/>
        <w:jc w:val="center"/>
      </w:pPr>
      <w:r>
        <w:rPr>
          <w:rFonts w:ascii="Century Schoolbook" w:hAnsi="Century Schoolbook" w:cs="Century Schoolbook" w:eastAsia="Century Schoolbook"/>
          <w:b w:val="0"/>
          <w:i w:val="0"/>
          <w:smallCaps w:val="0"/>
          <w:sz w:val="22"/>
        </w:rPr>
        <w:t>To amend title 35, United States Code, to provide for the treatment of inventions derived from non-human intelligence, and for other purposes.</w:t>
      </w:r>
    </w:p>
    <w:p>
      <w:pPr>
        <w:suppressLineNumbers/>
        <w:spacing w:before="280" w:after="160"/>
        <w:jc w:val="center"/>
      </w:pPr>
      <w:r>
        <w:rPr>
          <w:rFonts w:ascii="Century Schoolbook" w:hAnsi="Century Schoolbook" w:cs="Century Schoolbook" w:eastAsia="Century Schoolbook"/>
          <w:b w:val="0"/>
          <w:i w:val="0"/>
          <w:smallCaps w:val="0"/>
          <w:sz w:val="24"/>
        </w:rPr>
        <w:t>IN THE HOUSE OF REPRESENTATIVES</w:t>
      </w:r>
    </w:p>
    <w:p>
      <w:pPr>
        <w:suppressLineNumbers/>
        <w:spacing w:before="0" w:after="160"/>
        <w:jc w:val="center"/>
      </w:pPr>
      <w:r>
        <w:rPr>
          <w:rFonts w:ascii="Century Schoolbook" w:hAnsi="Century Schoolbook" w:cs="Century Schoolbook" w:eastAsia="Century Schoolbook"/>
          <w:b w:val="0"/>
          <w:i w:val="0"/>
          <w:smallCaps w:val="0"/>
          <w:sz w:val="22"/>
        </w:rPr>
        <w:t>[MONTH DAY], [YEAR]</w:t>
      </w:r>
    </w:p>
    <w:p>
      <w:pPr>
        <w:suppressLineNumbers/>
        <w:pBdr>
          <w:bottom w:val="single" w:sz="8" w:space="6" w:color="000000"/>
        </w:pBdr>
        <w:spacing w:before="0" w:after="200"/>
        <w:ind w:left="720"/>
      </w:pPr>
      <w:r>
        <w:rPr>
          <w:rFonts w:ascii="Century Schoolbook" w:hAnsi="Century Schoolbook" w:cs="Century Schoolbook" w:eastAsia="Century Schoolbook"/>
          <w:smallCaps/>
          <w:sz w:val="22"/>
        </w:rPr>
        <w:t>[Mr./Ms. ________]</w:t>
      </w:r>
      <w:r>
        <w:rPr>
          <w:rFonts w:ascii="Century Schoolbook" w:hAnsi="Century Schoolbook" w:cs="Century Schoolbook" w:eastAsia="Century Schoolbook"/>
          <w:sz w:val="22"/>
        </w:rPr>
        <w:t xml:space="preserve"> (for [himself/herself and ________]) introduced the following bill; which was referred to the Committee on [________]</w:t>
      </w:r>
    </w:p>
    <w:p>
      <w:pPr>
        <w:suppressLineNumbers/>
        <w:spacing w:before="440" w:after="200"/>
        <w:jc w:val="center"/>
      </w:pPr>
      <w:r>
        <w:rPr>
          <w:rFonts w:ascii="Century Schoolbook" w:hAnsi="Century Schoolbook" w:cs="Century Schoolbook" w:eastAsia="Century Schoolbook"/>
          <w:b/>
          <w:i w:val="0"/>
          <w:smallCaps w:val="0"/>
          <w:sz w:val="52"/>
        </w:rPr>
        <w:t>A BILL</w:t>
      </w:r>
    </w:p>
    <w:p>
      <w:pPr>
        <w:suppressLineNumbers/>
        <w:pBdr>
          <w:bottom w:val="single" w:sz="8" w:space="6" w:color="000000"/>
        </w:pBdr>
        <w:spacing w:before="0" w:after="240"/>
        <w:ind w:left="1152" w:right="1152"/>
        <w:jc w:val="center"/>
      </w:pPr>
      <w:r>
        <w:rPr>
          <w:rFonts w:ascii="Century Schoolbook" w:hAnsi="Century Schoolbook" w:cs="Century Schoolbook" w:eastAsia="Century Schoolbook"/>
          <w:b w:val="0"/>
          <w:i w:val="0"/>
          <w:smallCaps w:val="0"/>
          <w:sz w:val="24"/>
        </w:rPr>
        <w:t>To amend title 35, United States Code, to provide for the treatment of inventions derived from non-human intelligence, and for other purposes.</w:t>
      </w:r>
    </w:p>
    <w:p>
      <w:pPr>
        <w:suppressLineNumbers/>
        <w:spacing w:before="0" w:after="0"/>
      </w:pPr>
      <w:r>
        <w:br w:type="page"/>
      </w:r>
    </w:p>
    <w:p>
      <w:pPr>
        <w:spacing w:lineRule="exact" w:line="480" w:before="0" w:after="0"/>
        <w:ind w:firstLine="720"/>
      </w:pPr>
      <w:r>
        <w:rPr>
          <w:rFonts w:ascii="Century Schoolbook" w:hAnsi="Century Schoolbook" w:cs="Century Schoolbook" w:eastAsia="Century Schoolbook"/>
          <w:b w:val="0"/>
          <w:i w:val="0"/>
          <w:sz w:val="24"/>
        </w:rPr>
        <w:t>Be it enacted by the Senate and House of Representatives of the United States of America in Congress assembled,</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CHAPTER 19. TECHNOLOGY DERIVED FROM NON-HUMAN INTELLIGENCE</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 191. Definitions.</w:t>
      </w:r>
    </w:p>
    <w:p>
      <w:pPr>
        <w:spacing w:lineRule="exact" w:line="480" w:before="0" w:after="0"/>
        <w:ind w:firstLine="720"/>
        <w:jc w:val="both"/>
      </w:pPr>
      <w:r/>
      <w:r>
        <w:t xml:space="preserve">In this chapter:</w:t>
      </w:r>
    </w:p>
    <w:p>
      <w:pPr>
        <w:pStyle w:val="BodyText"/>
        <w:spacing w:lineRule="exact" w:line="480" w:before="0" w:after="0"/>
        <w:ind w:left="720" w:firstLine="720"/>
        <w:jc w:val="both"/>
      </w:pPr>
      <w:r>
        <w:t xml:space="preserve">(1)</w:t>
      </w:r>
      <w:r>
        <w:t xml:space="preserve"> </w:t>
      </w:r>
      <w:r>
        <w:rPr>
          <w:bCs/>
          <w:rFonts w:ascii="Century Schoolbook" w:hAnsi="Century Schoolbook" w:cs="Century Schoolbook" w:eastAsia="Century Schoolbook"/>
          <w:b w:val="0"/>
          <w:smallCaps/>
          <w:sz w:val="24"/>
        </w:rPr>
        <w:t>NON-HUMAN INTELLIGENCE.—</w:t>
      </w:r>
      <w:r/>
      <w:r>
        <w:t xml:space="preserve">The term</w:t>
      </w:r>
      <w:r>
        <w:t xml:space="preserve"> </w:t>
      </w:r>
      <w:r>
        <w:t xml:space="preserve">“</w:t>
      </w:r>
      <w:r>
        <w:t xml:space="preserve">non-human intelligence</w:t>
      </w:r>
      <w:r>
        <w:t xml:space="preserve">”</w:t>
      </w:r>
      <w:r>
        <w:t xml:space="preserve"> </w:t>
      </w:r>
      <w:r>
        <w:t xml:space="preserve">means any sentient intelligent non-human lifeform</w:t>
      </w:r>
      <w:r>
        <w:t xml:space="preserve"> </w:t>
      </w:r>
      <w:r>
        <w:t xml:space="preserve">regardless of nature or ultimate origin that may be presumed responsible for unidentified anomalous phenomena or</w:t>
      </w:r>
      <w:r>
        <w:t xml:space="preserve"> </w:t>
      </w:r>
      <w:r>
        <w:t xml:space="preserve">of which the Federal Government has become aware.</w:t>
      </w:r>
    </w:p>
    <w:p>
      <w:pPr>
        <w:pStyle w:val="BodyText"/>
        <w:spacing w:lineRule="exact" w:line="480" w:before="0" w:after="0"/>
        <w:ind w:left="720" w:firstLine="720"/>
        <w:jc w:val="both"/>
      </w:pPr>
      <w:r>
        <w:t xml:space="preserve">(2)</w:t>
      </w:r>
      <w:r>
        <w:t xml:space="preserve"> </w:t>
      </w:r>
      <w:r>
        <w:rPr>
          <w:bCs/>
          <w:rFonts w:ascii="Century Schoolbook" w:hAnsi="Century Schoolbook" w:cs="Century Schoolbook" w:eastAsia="Century Schoolbook"/>
          <w:b w:val="0"/>
          <w:smallCaps/>
          <w:sz w:val="24"/>
        </w:rPr>
        <w:t>TECHNOLOGY OF UNKNOWN ORIGIN.—</w:t>
      </w:r>
      <w:r/>
      <w:r>
        <w:t xml:space="preserve">The term</w:t>
      </w:r>
      <w:r>
        <w:t xml:space="preserve"> </w:t>
      </w:r>
      <w:r>
        <w:t xml:space="preserve">“</w:t>
      </w:r>
      <w:r>
        <w:t xml:space="preserve">technology of unknown origin</w:t>
      </w:r>
      <w:r>
        <w:t xml:space="preserve">”</w:t>
      </w:r>
      <w:r>
        <w:t xml:space="preserve"> </w:t>
      </w:r>
      <w:r>
        <w:t xml:space="preserve">means any materials or</w:t>
      </w:r>
      <w:r>
        <w:t xml:space="preserve"> </w:t>
      </w:r>
      <w:r>
        <w:t xml:space="preserve">meta-materials, ejecta, crash debris, mechanisms, machinery, equipment, assemblies or sub-assemblies,</w:t>
      </w:r>
      <w:r>
        <w:t xml:space="preserve"> </w:t>
      </w:r>
      <w:r>
        <w:t xml:space="preserve">engineering models or processes, damaged or intact aerospace vehicles, and damaged or intact ocean-surface and</w:t>
      </w:r>
      <w:r>
        <w:t xml:space="preserve"> </w:t>
      </w:r>
      <w:r>
        <w:t xml:space="preserve">undersea craft associated with unidentified anomalous phenomena or incorporating science and technology that</w:t>
      </w:r>
      <w:r>
        <w:t xml:space="preserve"> </w:t>
      </w:r>
      <w:r>
        <w:t xml:space="preserve">lacks prosaic attribution or known means of human manufacture.</w:t>
      </w:r>
    </w:p>
    <w:p>
      <w:pPr>
        <w:pStyle w:val="BodyText"/>
        <w:spacing w:lineRule="exact" w:line="480" w:before="0" w:after="0"/>
        <w:ind w:left="720" w:firstLine="720"/>
        <w:jc w:val="both"/>
      </w:pPr>
      <w:r>
        <w:t xml:space="preserve">(3)</w:t>
      </w:r>
      <w:r>
        <w:t xml:space="preserve"> </w:t>
      </w:r>
      <w:r>
        <w:rPr>
          <w:bCs/>
          <w:rFonts w:ascii="Century Schoolbook" w:hAnsi="Century Schoolbook" w:cs="Century Schoolbook" w:eastAsia="Century Schoolbook"/>
          <w:b w:val="0"/>
          <w:smallCaps/>
          <w:sz w:val="24"/>
        </w:rPr>
        <w:t>NHI-DERIVED SUBJECT MATTER.—</w:t>
      </w:r>
      <w:r/>
      <w:r>
        <w:t xml:space="preserve">The term</w:t>
      </w:r>
      <w:r>
        <w:t xml:space="preserve"> </w:t>
      </w:r>
      <w:r>
        <w:t xml:space="preserve">“</w:t>
      </w:r>
      <w:r>
        <w:t xml:space="preserve">NHI-derived subject matter</w:t>
      </w:r>
      <w:r>
        <w:t xml:space="preserve">”</w:t>
      </w:r>
      <w:r>
        <w:t xml:space="preserve"> </w:t>
      </w:r>
      <w:r>
        <w:t xml:space="preserve">means subject matter that is embodied in a</w:t>
      </w:r>
      <w:r>
        <w:t xml:space="preserve"> </w:t>
      </w:r>
      <w:r>
        <w:t xml:space="preserve">technology of unknown origin, or was learned from a technology of unknown origin or from a record describing</w:t>
      </w:r>
      <w:r>
        <w:t xml:space="preserve"> </w:t>
      </w:r>
      <w:r>
        <w:t xml:space="preserve">one, or is attributed by the applicant or an inventor to communication from a non-human intelligence, to the</w:t>
      </w:r>
      <w:r>
        <w:t xml:space="preserve"> </w:t>
      </w:r>
      <w:r>
        <w:t xml:space="preserve">extent that the subject matter was not conceived by a named inventor.</w:t>
      </w:r>
    </w:p>
    <w:p>
      <w:pPr>
        <w:pStyle w:val="BodyText"/>
        <w:spacing w:lineRule="exact" w:line="480" w:before="0" w:after="0"/>
        <w:ind w:left="720" w:firstLine="720"/>
        <w:jc w:val="both"/>
      </w:pPr>
      <w:r>
        <w:t xml:space="preserve">(4)</w:t>
      </w:r>
      <w:r>
        <w:t xml:space="preserve"> </w:t>
      </w:r>
      <w:r>
        <w:rPr>
          <w:bCs/>
          <w:rFonts w:ascii="Century Schoolbook" w:hAnsi="Century Schoolbook" w:cs="Century Schoolbook" w:eastAsia="Century Schoolbook"/>
          <w:b w:val="0"/>
          <w:smallCaps/>
          <w:sz w:val="24"/>
        </w:rPr>
        <w:t>HUMAN IMPROVEMENT.—</w:t>
      </w:r>
      <w:r/>
      <w:r>
        <w:t xml:space="preserve">The term</w:t>
      </w:r>
      <w:r>
        <w:t xml:space="preserve"> </w:t>
      </w:r>
      <w:r>
        <w:t xml:space="preserve">“</w:t>
      </w:r>
      <w:r>
        <w:t xml:space="preserve">human improvement</w:t>
      </w:r>
      <w:r>
        <w:t xml:space="preserve">”</w:t>
      </w:r>
      <w:r>
        <w:t xml:space="preserve"> </w:t>
      </w:r>
      <w:r>
        <w:t xml:space="preserve">means subject matter conceived by one or more natural persons</w:t>
      </w:r>
      <w:r>
        <w:t xml:space="preserve"> </w:t>
      </w:r>
      <w:r>
        <w:t xml:space="preserve">named as inventors, including a new use, method of manufacture, or combination, whether or not those persons</w:t>
      </w:r>
      <w:r>
        <w:t xml:space="preserve"> </w:t>
      </w:r>
      <w:r>
        <w:t xml:space="preserve">studied or used a technology of unknown origin in conceiving it.</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 192. Provenance statement.</w:t>
      </w:r>
    </w:p>
    <w:p>
      <w:pPr>
        <w:pStyle w:val="BodyText"/>
        <w:spacing w:lineRule="exact" w:line="480" w:before="0" w:after="0"/>
        <w:ind w:left="0" w:firstLine="720"/>
        <w:jc w:val="both"/>
      </w:pPr>
      <w:r>
        <w:t xml:space="preserve">(a)</w:t>
      </w:r>
      <w:r>
        <w:t xml:space="preserve"> </w:t>
      </w:r>
      <w:r>
        <w:rPr>
          <w:bCs/>
          <w:rFonts w:ascii="Century Schoolbook" w:hAnsi="Century Schoolbook" w:cs="Century Schoolbook" w:eastAsia="Century Schoolbook"/>
          <w:b w:val="0"/>
          <w:smallCaps/>
          <w:sz w:val="24"/>
        </w:rPr>
        <w:t>REQUIREMENT.—</w:t>
      </w:r>
      <w:r/>
      <w:r>
        <w:t xml:space="preserve">No patent shall issue on an application that claims subject matter in a class designated by</w:t>
      </w:r>
      <w:r>
        <w:t xml:space="preserve"> </w:t>
      </w:r>
      <w:r>
        <w:t xml:space="preserve">the Director under subsection (c) unless the applicant files, with the application or within 30 days after the</w:t>
      </w:r>
      <w:r>
        <w:t xml:space="preserve"> </w:t>
      </w:r>
      <w:r>
        <w:t xml:space="preserve">Director’s request, a statement under oath setting forth the full facts surrounding the conception of each claimed</w:t>
      </w:r>
      <w:r>
        <w:t xml:space="preserve"> </w:t>
      </w:r>
      <w:r>
        <w:t xml:space="preserve">invention, including whether any inventor had access to a technology of unknown origin or to a record describing</w:t>
      </w:r>
      <w:r>
        <w:t xml:space="preserve"> </w:t>
      </w:r>
      <w:r>
        <w:t xml:space="preserve">one, and whether any claimed subject matter is attributed to communication from a non-human intelligence.</w:t>
      </w:r>
    </w:p>
    <w:p>
      <w:pPr>
        <w:pStyle w:val="BodyText"/>
        <w:spacing w:lineRule="exact" w:line="480" w:before="0" w:after="0"/>
        <w:ind w:left="0" w:firstLine="720"/>
        <w:jc w:val="both"/>
      </w:pPr>
      <w:r>
        <w:t xml:space="preserve">(b)</w:t>
      </w:r>
      <w:r>
        <w:t xml:space="preserve"> </w:t>
      </w:r>
      <w:r>
        <w:rPr>
          <w:bCs/>
          <w:rFonts w:ascii="Century Schoolbook" w:hAnsi="Century Schoolbook" w:cs="Century Schoolbook" w:eastAsia="Century Schoolbook"/>
          <w:b w:val="0"/>
          <w:smallCaps/>
          <w:sz w:val="24"/>
        </w:rPr>
        <w:t>CLASSIFIED FACTS.—</w:t>
      </w:r>
      <w:r/>
      <w:r>
        <w:t xml:space="preserve">A statement that would require classified information shall be filed through the</w:t>
      </w:r>
      <w:r>
        <w:t xml:space="preserve"> </w:t>
      </w:r>
      <w:r>
        <w:t xml:space="preserve">procedure the Director and the Secretary of Defense establish under section 181, and shall be available to the</w:t>
      </w:r>
      <w:r>
        <w:t xml:space="preserve"> </w:t>
      </w:r>
      <w:r>
        <w:t xml:space="preserve">examiner and to the Government agencies specified in that procedure.</w:t>
      </w:r>
    </w:p>
    <w:p>
      <w:pPr>
        <w:pStyle w:val="BodyText"/>
        <w:spacing w:lineRule="exact" w:line="480" w:before="0" w:after="0"/>
        <w:ind w:left="0" w:firstLine="720"/>
        <w:jc w:val="both"/>
      </w:pPr>
      <w:r>
        <w:t xml:space="preserve">(c)</w:t>
      </w:r>
      <w:r>
        <w:t xml:space="preserve"> </w:t>
      </w:r>
      <w:r>
        <w:rPr>
          <w:bCs/>
          <w:rFonts w:ascii="Century Schoolbook" w:hAnsi="Century Schoolbook" w:cs="Century Schoolbook" w:eastAsia="Century Schoolbook"/>
          <w:b w:val="0"/>
          <w:smallCaps/>
          <w:sz w:val="24"/>
        </w:rPr>
        <w:t>DESIGNATED CLASSES.—</w:t>
      </w:r>
      <w:r/>
      <w:r>
        <w:t xml:space="preserve">The Director, in consultation with the Secretary of Defense, the Secretary of Energy, the</w:t>
      </w:r>
      <w:r>
        <w:t xml:space="preserve"> </w:t>
      </w:r>
      <w:r>
        <w:t xml:space="preserve">Administrator of the National Aeronautics and Space Administration, and the Director of National Intelligence,</w:t>
      </w:r>
      <w:r>
        <w:t xml:space="preserve"> </w:t>
      </w:r>
      <w:r>
        <w:t xml:space="preserve">shall designate by notice in the Federal Register the patent classes to which subsection (a) applies, and shall</w:t>
      </w:r>
      <w:r>
        <w:t xml:space="preserve"> </w:t>
      </w:r>
      <w:r>
        <w:t xml:space="preserve">review the designations annually.</w:t>
      </w:r>
    </w:p>
    <w:p>
      <w:pPr>
        <w:pStyle w:val="BodyText"/>
        <w:spacing w:lineRule="exact" w:line="480" w:before="0" w:after="0"/>
        <w:ind w:left="0" w:firstLine="720"/>
        <w:jc w:val="both"/>
      </w:pPr>
      <w:r>
        <w:t xml:space="preserve">(d)</w:t>
      </w:r>
      <w:r>
        <w:t xml:space="preserve"> </w:t>
      </w:r>
      <w:r>
        <w:rPr>
          <w:bCs/>
          <w:rFonts w:ascii="Century Schoolbook" w:hAnsi="Century Schoolbook" w:cs="Century Schoolbook" w:eastAsia="Century Schoolbook"/>
          <w:b w:val="0"/>
          <w:smallCaps/>
          <w:sz w:val="24"/>
        </w:rPr>
        <w:t>PENALTIES.—</w:t>
      </w:r>
      <w:r/>
      <w:r>
        <w:t xml:space="preserve">A willful false statement under this section is punishable under section 1001 of title 18.</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 193. NHI-derived subject matter not patentable.</w:t>
      </w:r>
    </w:p>
    <w:p>
      <w:pPr>
        <w:pStyle w:val="BodyText"/>
        <w:spacing w:lineRule="exact" w:line="480" w:before="0" w:after="0"/>
        <w:ind w:left="0" w:firstLine="720"/>
        <w:jc w:val="both"/>
      </w:pPr>
      <w:r>
        <w:t xml:space="preserve">(a)</w:t>
      </w:r>
      <w:r>
        <w:t xml:space="preserve"> </w:t>
      </w:r>
      <w:r>
        <w:rPr>
          <w:bCs/>
          <w:rFonts w:ascii="Century Schoolbook" w:hAnsi="Century Schoolbook" w:cs="Century Schoolbook" w:eastAsia="Century Schoolbook"/>
          <w:b w:val="0"/>
          <w:smallCaps/>
          <w:sz w:val="24"/>
        </w:rPr>
        <w:t>BAR.—</w:t>
      </w:r>
      <w:r/>
      <w:r>
        <w:t xml:space="preserve">A claim is not patentable, and a patent claim is invalid, to the extent that it claims NHI-derived</w:t>
      </w:r>
      <w:r>
        <w:t xml:space="preserve"> </w:t>
      </w:r>
      <w:r>
        <w:t xml:space="preserve">subject matter.</w:t>
      </w:r>
    </w:p>
    <w:p>
      <w:pPr>
        <w:pStyle w:val="BodyText"/>
        <w:spacing w:lineRule="exact" w:line="480" w:before="0" w:after="0"/>
        <w:ind w:left="0" w:firstLine="720"/>
        <w:jc w:val="both"/>
      </w:pPr>
      <w:r>
        <w:t xml:space="preserve">(b)</w:t>
      </w:r>
      <w:r>
        <w:t xml:space="preserve"> </w:t>
      </w:r>
      <w:r>
        <w:rPr>
          <w:bCs/>
          <w:rFonts w:ascii="Century Schoolbook" w:hAnsi="Century Schoolbook" w:cs="Century Schoolbook" w:eastAsia="Century Schoolbook"/>
          <w:b w:val="0"/>
          <w:smallCaps/>
          <w:sz w:val="24"/>
        </w:rPr>
        <w:t>HUMAN IMPROVEMENTS.—</w:t>
      </w:r>
      <w:r/>
      <w:r>
        <w:t xml:space="preserve">Subsection (a) does not bar a claim limited to a human improvement. The applicant has</w:t>
      </w:r>
      <w:r>
        <w:t xml:space="preserve"> </w:t>
      </w:r>
      <w:r>
        <w:t xml:space="preserve">the burden of showing, by a preponderance of the evidence, that each limitation relied on for patentability is a</w:t>
      </w:r>
      <w:r>
        <w:t xml:space="preserve"> </w:t>
      </w:r>
      <w:r>
        <w:t xml:space="preserve">human improvement.</w:t>
      </w:r>
    </w:p>
    <w:p>
      <w:pPr>
        <w:pStyle w:val="BodyText"/>
        <w:spacing w:lineRule="exact" w:line="480" w:before="0" w:after="0"/>
        <w:ind w:left="0" w:firstLine="720"/>
        <w:jc w:val="both"/>
      </w:pPr>
      <w:r>
        <w:t xml:space="preserve">(c)</w:t>
      </w:r>
      <w:r>
        <w:t xml:space="preserve"> </w:t>
      </w:r>
      <w:r>
        <w:rPr>
          <w:bCs/>
          <w:rFonts w:ascii="Century Schoolbook" w:hAnsi="Century Schoolbook" w:cs="Century Schoolbook" w:eastAsia="Century Schoolbook"/>
          <w:b w:val="0"/>
          <w:smallCaps/>
          <w:sz w:val="24"/>
        </w:rPr>
        <w:t>NO CORRECTION.—</w:t>
      </w:r>
      <w:r/>
      <w:r>
        <w:t xml:space="preserve">Section 256 does not apply to cure invalidity under subsection (a).</w:t>
      </w:r>
    </w:p>
    <w:p>
      <w:pPr>
        <w:pStyle w:val="BodyText"/>
        <w:spacing w:lineRule="exact" w:line="480" w:before="0" w:after="0"/>
        <w:ind w:left="0" w:firstLine="720"/>
        <w:jc w:val="both"/>
      </w:pPr>
      <w:r>
        <w:t xml:space="preserve">(d)</w:t>
      </w:r>
      <w:r>
        <w:t xml:space="preserve"> </w:t>
      </w:r>
      <w:r>
        <w:rPr>
          <w:bCs/>
          <w:rFonts w:ascii="Century Schoolbook" w:hAnsi="Century Schoolbook" w:cs="Century Schoolbook" w:eastAsia="Century Schoolbook"/>
          <w:b w:val="0"/>
          <w:smallCaps/>
          <w:sz w:val="24"/>
        </w:rPr>
        <w:t>DEFENSE.—</w:t>
      </w:r>
      <w:r/>
      <w:r>
        <w:t xml:space="preserve">Invalidity under this section is a defense under section 282(b) and a ground for post-grant review</w:t>
      </w:r>
      <w:r>
        <w:t xml:space="preserve"> </w:t>
      </w:r>
      <w:r>
        <w:t xml:space="preserve">under section 321 and inter partes review under section 311.</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 194. Government objection.</w:t>
      </w:r>
    </w:p>
    <w:p>
      <w:pPr>
        <w:pStyle w:val="BodyText"/>
        <w:spacing w:lineRule="exact" w:line="480" w:before="0" w:after="0"/>
        <w:ind w:left="0" w:firstLine="720"/>
        <w:jc w:val="both"/>
      </w:pPr>
      <w:r>
        <w:t xml:space="preserve">(a)</w:t>
      </w:r>
      <w:r>
        <w:t xml:space="preserve"> </w:t>
      </w:r>
      <w:r>
        <w:rPr>
          <w:bCs/>
          <w:rFonts w:ascii="Century Schoolbook" w:hAnsi="Century Schoolbook" w:cs="Century Schoolbook" w:eastAsia="Century Schoolbook"/>
          <w:b w:val="0"/>
          <w:smallCaps/>
          <w:sz w:val="24"/>
        </w:rPr>
        <w:t>OBJECTION.—</w:t>
      </w:r>
      <w:r/>
      <w:r>
        <w:t xml:space="preserve">The head of any department or agency that holds or has studied a technology of unknown origin may</w:t>
      </w:r>
      <w:r>
        <w:t xml:space="preserve"> </w:t>
      </w:r>
      <w:r>
        <w:t xml:space="preserve">file with the Director, at any time before issuance or within two years after issuance, an objection that an</w:t>
      </w:r>
      <w:r>
        <w:t xml:space="preserve"> </w:t>
      </w:r>
      <w:r>
        <w:t xml:space="preserve">application or patent claims NHI-derived subject matter.</w:t>
      </w:r>
    </w:p>
    <w:p>
      <w:pPr>
        <w:pStyle w:val="BodyText"/>
        <w:spacing w:lineRule="exact" w:line="480" w:before="0" w:after="0"/>
        <w:ind w:left="0" w:firstLine="720"/>
        <w:jc w:val="both"/>
      </w:pPr>
      <w:r>
        <w:t xml:space="preserve">(b)</w:t>
      </w:r>
      <w:r>
        <w:t xml:space="preserve"> </w:t>
      </w:r>
      <w:r>
        <w:rPr>
          <w:bCs/>
          <w:rFonts w:ascii="Century Schoolbook" w:hAnsi="Century Schoolbook" w:cs="Century Schoolbook" w:eastAsia="Century Schoolbook"/>
          <w:b w:val="0"/>
          <w:smallCaps/>
          <w:sz w:val="24"/>
        </w:rPr>
        <w:t>PROCEEDING.—</w:t>
      </w:r>
      <w:r/>
      <w:r>
        <w:t xml:space="preserve">The Director shall decide the objection on the record, which may include classified</w:t>
      </w:r>
      <w:r>
        <w:t xml:space="preserve"> </w:t>
      </w:r>
      <w:r>
        <w:t xml:space="preserve">information reviewed ex parte by an administrative patent judge holding the necessary clearance. The applicant or</w:t>
      </w:r>
      <w:r>
        <w:t xml:space="preserve"> </w:t>
      </w:r>
      <w:r>
        <w:t xml:space="preserve">patent owner shall receive an unclassified summary sufficient to respond and may be represented by counsel</w:t>
      </w:r>
      <w:r>
        <w:t xml:space="preserve"> </w:t>
      </w:r>
      <w:r>
        <w:t xml:space="preserve">holding a clearance at the appropriate level.</w:t>
      </w:r>
    </w:p>
    <w:p>
      <w:pPr>
        <w:pStyle w:val="BodyText"/>
        <w:spacing w:lineRule="exact" w:line="480" w:before="0" w:after="0"/>
        <w:ind w:left="0" w:firstLine="720"/>
        <w:jc w:val="both"/>
      </w:pPr>
      <w:r>
        <w:t xml:space="preserve">(c)</w:t>
      </w:r>
      <w:r>
        <w:t xml:space="preserve"> </w:t>
      </w:r>
      <w:r>
        <w:rPr>
          <w:bCs/>
          <w:rFonts w:ascii="Century Schoolbook" w:hAnsi="Century Schoolbook" w:cs="Century Schoolbook" w:eastAsia="Century Schoolbook"/>
          <w:b w:val="0"/>
          <w:smallCaps/>
          <w:sz w:val="24"/>
        </w:rPr>
        <w:t>REVIEW.—</w:t>
      </w:r>
      <w:r/>
      <w:r>
        <w:t xml:space="preserve">A decision under this section is reviewable by the United States Court of Appeals for the Federal</w:t>
      </w:r>
      <w:r>
        <w:t xml:space="preserve"> </w:t>
      </w:r>
      <w:r>
        <w:t xml:space="preserve">Circuit, which may review classified portions of the record ex parte and in camera.</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 195. Public dedication and licensing.</w:t>
      </w:r>
    </w:p>
    <w:p>
      <w:pPr>
        <w:pStyle w:val="BodyText"/>
        <w:spacing w:lineRule="exact" w:line="480" w:before="0" w:after="0"/>
        <w:ind w:left="0" w:firstLine="720"/>
        <w:jc w:val="both"/>
      </w:pPr>
      <w:r>
        <w:t xml:space="preserve">(a)</w:t>
      </w:r>
      <w:r>
        <w:t xml:space="preserve"> </w:t>
      </w:r>
      <w:r>
        <w:rPr>
          <w:bCs/>
          <w:rFonts w:ascii="Century Schoolbook" w:hAnsi="Century Schoolbook" w:cs="Century Schoolbook" w:eastAsia="Century Schoolbook"/>
          <w:b w:val="0"/>
          <w:smallCaps/>
          <w:sz w:val="24"/>
        </w:rPr>
        <w:t>DEDICATION.—</w:t>
      </w:r>
      <w:r/>
      <w:r>
        <w:t xml:space="preserve">NHI-derived subject matter that the Federal Government discloses to the public under any</w:t>
      </w:r>
      <w:r>
        <w:t xml:space="preserve"> </w:t>
      </w:r>
      <w:r>
        <w:t xml:space="preserve">provision of law is dedicated to the public and may be practiced by any person, subject to export control and</w:t>
      </w:r>
      <w:r>
        <w:t xml:space="preserve"> </w:t>
      </w:r>
      <w:r>
        <w:t xml:space="preserve">safety laws.</w:t>
      </w:r>
    </w:p>
    <w:p>
      <w:pPr>
        <w:pStyle w:val="BodyText"/>
        <w:spacing w:lineRule="exact" w:line="480" w:before="0" w:after="0"/>
        <w:ind w:left="0" w:firstLine="720"/>
        <w:jc w:val="both"/>
      </w:pPr>
      <w:r>
        <w:t xml:space="preserve">(b)</w:t>
      </w:r>
      <w:r>
        <w:t xml:space="preserve"> </w:t>
      </w:r>
      <w:r>
        <w:rPr>
          <w:bCs/>
          <w:rFonts w:ascii="Century Schoolbook" w:hAnsi="Century Schoolbook" w:cs="Century Schoolbook" w:eastAsia="Century Schoolbook"/>
          <w:b w:val="0"/>
          <w:smallCaps/>
          <w:sz w:val="24"/>
        </w:rPr>
        <w:t>COMPULSORY LICENSE.—</w:t>
      </w:r>
      <w:r/>
      <w:r>
        <w:t xml:space="preserve">If a patent on a human improvement prevents the practice of dedicated subject matter for</w:t>
      </w:r>
      <w:r>
        <w:t xml:space="preserve"> </w:t>
      </w:r>
      <w:r>
        <w:t xml:space="preserve">the production of energy or for the prevention or treatment of disease, the Director, on petition and after</w:t>
      </w:r>
      <w:r>
        <w:t xml:space="preserve"> </w:t>
      </w:r>
      <w:r>
        <w:t xml:space="preserve">notice and hearing, may grant a nonexclusive license to practice the patented improvement for those purposes on</w:t>
      </w:r>
      <w:r>
        <w:t xml:space="preserve"> </w:t>
      </w:r>
      <w:r>
        <w:t xml:space="preserve">terms that provide reasonable compensation to the patent owner.</w:t>
      </w:r>
    </w:p>
    <w:p>
      <w:pPr>
        <w:pStyle w:val="BodyText"/>
        <w:spacing w:lineRule="exact" w:line="480" w:before="0" w:after="0"/>
        <w:ind w:left="0" w:firstLine="720"/>
        <w:jc w:val="both"/>
      </w:pPr>
      <w:r>
        <w:t xml:space="preserve">(c)</w:t>
      </w:r>
      <w:r>
        <w:t xml:space="preserve"> </w:t>
      </w:r>
      <w:r>
        <w:rPr>
          <w:bCs/>
          <w:rFonts w:ascii="Century Schoolbook" w:hAnsi="Century Schoolbook" w:cs="Century Schoolbook" w:eastAsia="Century Schoolbook"/>
          <w:b w:val="0"/>
          <w:smallCaps/>
          <w:sz w:val="24"/>
        </w:rPr>
        <w:t>GOVERNMENT LICENSE.—</w:t>
      </w:r>
      <w:r/>
      <w:r>
        <w:t xml:space="preserve">The United States shall have a nonexclusive, nontransferable, irrevocable, paid-up</w:t>
      </w:r>
      <w:r>
        <w:t xml:space="preserve"> </w:t>
      </w:r>
      <w:r>
        <w:t xml:space="preserve">license to practice any human improvement conceived through access to a technology of unknown origin held by or</w:t>
      </w:r>
      <w:r>
        <w:t xml:space="preserve"> </w:t>
      </w:r>
      <w:r>
        <w:t xml:space="preserve">for the Federal Government.</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 196. Secrecy orders and reports.</w:t>
      </w:r>
    </w:p>
    <w:p>
      <w:pPr>
        <w:pStyle w:val="BodyText"/>
        <w:spacing w:lineRule="exact" w:line="480" w:before="0" w:after="0"/>
        <w:ind w:left="0" w:firstLine="720"/>
        <w:jc w:val="both"/>
      </w:pPr>
      <w:r>
        <w:t xml:space="preserve">(a)</w:t>
      </w:r>
      <w:r>
        <w:t xml:space="preserve"> </w:t>
      </w:r>
      <w:r>
        <w:rPr>
          <w:bCs/>
          <w:rFonts w:ascii="Century Schoolbook" w:hAnsi="Century Schoolbook" w:cs="Century Schoolbook" w:eastAsia="Century Schoolbook"/>
          <w:b w:val="0"/>
          <w:smallCaps/>
          <w:sz w:val="24"/>
        </w:rPr>
        <w:t>REPORTS.—</w:t>
      </w:r>
      <w:r/>
      <w:r>
        <w:t xml:space="preserve">The Director shall report to the congressional defense and intelligence committees and the</w:t>
      </w:r>
      <w:r>
        <w:t xml:space="preserve"> </w:t>
      </w:r>
      <w:r>
        <w:t xml:space="preserve">Committees on the Judiciary, not later than 90 days after the end of each fiscal year, the number of applications</w:t>
      </w:r>
      <w:r>
        <w:t xml:space="preserve"> </w:t>
      </w:r>
      <w:r>
        <w:t xml:space="preserve">in classes designated under section 192(c), the number subject to secrecy orders under section 181, the number of</w:t>
      </w:r>
      <w:r>
        <w:t xml:space="preserve"> </w:t>
      </w:r>
      <w:r>
        <w:t xml:space="preserve">objections under section 194 and their disposition, and the number of licenses granted under section 195.</w:t>
      </w:r>
    </w:p>
    <w:p>
      <w:pPr>
        <w:pStyle w:val="BodyText"/>
        <w:spacing w:lineRule="exact" w:line="480" w:before="0" w:after="0"/>
        <w:ind w:left="0" w:firstLine="720"/>
        <w:jc w:val="both"/>
      </w:pPr>
      <w:r>
        <w:t xml:space="preserve">(b)</w:t>
      </w:r>
      <w:r>
        <w:t xml:space="preserve"> </w:t>
      </w:r>
      <w:r>
        <w:rPr>
          <w:bCs/>
          <w:rFonts w:ascii="Century Schoolbook" w:hAnsi="Century Schoolbook" w:cs="Century Schoolbook" w:eastAsia="Century Schoolbook"/>
          <w:b w:val="0"/>
          <w:smallCaps/>
          <w:sz w:val="24"/>
        </w:rPr>
        <w:t>FORM.—</w:t>
      </w:r>
      <w:r/>
      <w:r>
        <w:t xml:space="preserve">The report shall be submitted in unclassified form, which may include a classified annex.</w:t>
      </w:r>
    </w:p>
    <w:p>
      <w:pPr>
        <w:pStyle w:val="BodyText"/>
        <w:keepNext/>
        <w:spacing w:lineRule="exact" w:line="480" w:before="0" w:after="0"/>
        <w:ind w:firstLine="720"/>
        <w:jc w:val="both"/>
      </w:pPr>
      <w:r>
        <w:rPr>
          <w:bCs/>
          <w:rFonts w:ascii="Century Schoolbook" w:hAnsi="Century Schoolbook" w:cs="Century Schoolbook" w:eastAsia="Century Schoolbook"/>
          <w:b/>
          <w:smallCaps/>
          <w:sz w:val="24"/>
        </w:rPr>
        <w:t xml:space="preserve">§ 197. Relation to other law.</w:t>
      </w:r>
    </w:p>
    <w:p>
      <w:pPr>
        <w:spacing w:lineRule="exact" w:line="480" w:before="0" w:after="0"/>
        <w:ind w:firstLine="720"/>
        <w:jc w:val="both"/>
      </w:pPr>
      <w:r/>
      <w:r>
        <w:t xml:space="preserve">Nothing in this chapter limits sections 181 through 188 of this title, section</w:t>
      </w:r>
      <w:r>
        <w:t xml:space="preserve"> </w:t>
      </w:r>
      <w:r>
        <w:t xml:space="preserve">1498 of title 28, chapter 18 of title 35, section 20135 of title 51, or sections 151 and 152 of the Atomic Energy</w:t>
      </w:r>
      <w:r>
        <w:t xml:space="preserve"> </w:t>
      </w:r>
      <w:r>
        <w:t xml:space="preserve">Act of 1954 (42 U.S.C. 2181, 2182).</w:t>
      </w:r>
    </w:p>
    <w:p>
      <w:pPr>
        <w:pStyle w:val="BodyText"/>
        <w:suppressLineNumbers/>
        <w:spacing w:lineRule="exact" w:line="40" w:before="0" w:after="0"/>
        <w:sectPr>
          <w:headerReference w:type="default" r:id="rId11"/>
          <w:footerReference w:type="default" r:id="rId12"/>
          <w:headerReference w:type="first" r:id="rId13"/>
          <w:footerReference w:type="first" r:id="rId14"/>
          <w:pgSz w:h="15840" w:w="12240"/>
          <w:pgMar w:bottom="1440" w:left="2160" w:right="1440" w:top="1440" w:header="720" w:footer="720"/>
          <w:lnNumType w:countBy="1" w:restart="newPage" w:distance="503"/>
          <w:pgNumType w:start="1"/>
          <w:titlePg/>
        </w:sectPr>
      </w:pPr>
    </w:p>
    <w:bookmarkStart w:id="23" w:name="drafting-notes"/>
    <w:p>
      <w:pPr>
        <w:pStyle w:val="Heading2"/>
        <w:suppressLineNumbers/>
      </w:pPr>
      <w:r>
        <w:t xml:space="preserve">Drafting notes</w:t>
      </w:r>
    </w:p>
    <w:p>
      <w:pPr>
        <w:pStyle w:val="Compact"/>
        <w:numPr>
          <w:ilvl w:val="0"/>
          <w:numId w:val="1001"/>
        </w:numPr>
        <w:suppressLineNumbers/>
      </w:pPr>
      <w:r>
        <w:rPr>
          <w:bCs/>
          <w:b/>
        </w:rPr>
        <w:t xml:space="preserve">Model.</w:t>
      </w:r>
      <w:r>
        <w:t xml:space="preserve"> </w:t>
      </w:r>
      <w:r>
        <w:t xml:space="preserve">Section 192 follows 42 U.S.C. §2182, which since 1954 has required</w:t>
      </w:r>
      <w:r>
        <w:t xml:space="preserve"> </w:t>
      </w:r>
      <w:r>
        <w:t xml:space="preserve">“</w:t>
      </w:r>
      <w:r>
        <w:t xml:space="preserve">a statement under oath setting forth</w:t>
      </w:r>
      <w:r>
        <w:t xml:space="preserve"> </w:t>
      </w:r>
      <w:r>
        <w:t xml:space="preserve">the full facts surrounding the making or conception</w:t>
      </w:r>
      <w:r>
        <w:t xml:space="preserve">”</w:t>
      </w:r>
      <w:r>
        <w:t xml:space="preserve"> </w:t>
      </w:r>
      <w:r>
        <w:t xml:space="preserve">of inventions useful in atomic energy. Section 193 follows</w:t>
      </w:r>
      <w:r>
        <w:t xml:space="preserve"> </w:t>
      </w:r>
      <w:r>
        <w:t xml:space="preserve">the structure of §2181(a), which bars patents on inventions useful solely in atomic weapons, but is narrower: it</w:t>
      </w:r>
      <w:r>
        <w:t xml:space="preserve"> </w:t>
      </w:r>
      <w:r>
        <w:t xml:space="preserve">bars only what the human did not conceive.</w:t>
      </w:r>
    </w:p>
    <w:p>
      <w:pPr>
        <w:pStyle w:val="Compact"/>
        <w:numPr>
          <w:ilvl w:val="0"/>
          <w:numId w:val="1001"/>
        </w:numPr>
        <w:suppressLineNumbers/>
      </w:pPr>
      <w:r>
        <w:rPr>
          <w:bCs/>
          <w:b/>
        </w:rPr>
        <w:t xml:space="preserve">Burden in §193(b).</w:t>
      </w:r>
      <w:r>
        <w:t xml:space="preserve"> </w:t>
      </w:r>
      <w:r>
        <w:t xml:space="preserve">Current law presumes validity and requires a challenger to prove invalidity by clear and</w:t>
      </w:r>
      <w:r>
        <w:t xml:space="preserve"> </w:t>
      </w:r>
      <w:r>
        <w:t xml:space="preserve">convincing evidence (35 U.S.C. §282(a)). Shifting the burden for designated classes responds to the fact that the</w:t>
      </w:r>
      <w:r>
        <w:t xml:space="preserve"> </w:t>
      </w:r>
      <w:r>
        <w:t xml:space="preserve">evidence of provenance is usually in the applicant’s or the government’s hands.</w:t>
      </w:r>
    </w:p>
    <w:p>
      <w:pPr>
        <w:pStyle w:val="Compact"/>
        <w:numPr>
          <w:ilvl w:val="0"/>
          <w:numId w:val="1001"/>
        </w:numPr>
        <w:suppressLineNumbers/>
      </w:pPr>
      <w:r>
        <w:rPr>
          <w:bCs/>
          <w:b/>
        </w:rPr>
        <w:t xml:space="preserve">Definitions.</w:t>
      </w:r>
      <w:r>
        <w:t xml:space="preserve"> </w:t>
      </w:r>
      <w:r>
        <w:t xml:space="preserve">Paragraphs (1) and (2) of §191 track H.R. 8800 (EH) §1773. Confirm the final enacted definitions</w:t>
      </w:r>
      <w:r>
        <w:t xml:space="preserve"> </w:t>
      </w:r>
      <w:r>
        <w:t xml:space="preserve">if a UAP disclosure act passes.</w:t>
      </w:r>
    </w:p>
    <w:p>
      <w:pPr>
        <w:pStyle w:val="Compact"/>
        <w:numPr>
          <w:ilvl w:val="0"/>
          <w:numId w:val="1001"/>
        </w:numPr>
        <w:suppressLineNumbers/>
      </w:pPr>
      <w:r>
        <w:rPr>
          <w:bCs/>
          <w:b/>
        </w:rPr>
        <w:t xml:space="preserve">Due process in §194.</w:t>
      </w:r>
      <w:r>
        <w:t xml:space="preserve"> </w:t>
      </w:r>
      <w:r>
        <w:t xml:space="preserve">The ex parte classified procedure is modeled on CIPA and the protective orders</w:t>
      </w:r>
      <w:r>
        <w:t xml:space="preserve"> </w:t>
      </w:r>
      <w:r>
        <w:t xml:space="preserve">discussed in</w:t>
      </w:r>
      <w:r>
        <w:t xml:space="preserve"> </w:t>
      </w:r>
      <w:hyperlink r:id="rId22">
        <w:r>
          <w:rPr>
            <w:rStyle w:val="Hyperlink"/>
          </w:rPr>
          <w:t xml:space="preserve">Issue A1</w:t>
        </w:r>
      </w:hyperlink>
      <w:r>
        <w:t xml:space="preserve">. Expect challenges; the unclassified-summary and cleared-counsel provisions are included</w:t>
      </w:r>
      <w:r>
        <w:t xml:space="preserve"> </w:t>
      </w:r>
      <w:r>
        <w:t xml:space="preserve">to answer them.</w:t>
      </w:r>
    </w:p>
    <w:p>
      <w:pPr>
        <w:pStyle w:val="Compact"/>
        <w:numPr>
          <w:ilvl w:val="0"/>
          <w:numId w:val="1001"/>
        </w:numPr>
        <w:suppressLineNumbers/>
      </w:pPr>
      <w:r>
        <w:rPr>
          <w:bCs/>
          <w:b/>
        </w:rPr>
        <w:t xml:space="preserve">Takings.</w:t>
      </w:r>
      <w:r>
        <w:t xml:space="preserve"> </w:t>
      </w:r>
      <w:r>
        <w:t xml:space="preserve">Applying §193 to already-issued patents could be argued to take property. Patents are public</w:t>
      </w:r>
      <w:r>
        <w:t xml:space="preserve"> </w:t>
      </w:r>
      <w:r>
        <w:t xml:space="preserve">franchises subject to administrative review (</w:t>
      </w:r>
      <w:r>
        <w:rPr>
          <w:iCs/>
          <w:i/>
        </w:rPr>
        <w:t xml:space="preserve">Oil States Energy Servs., LLC v. Greene’s Energy Grp., LLC</w:t>
      </w:r>
      <w:r>
        <w:t xml:space="preserve">, 584</w:t>
      </w:r>
      <w:r>
        <w:t xml:space="preserve"> </w:t>
      </w:r>
      <w:r>
        <w:t xml:space="preserve">U.S. 325 (2018)), and §193 codifies a rule that existing law already applies (</w:t>
      </w:r>
      <w:hyperlink r:id="rId20">
        <w:r>
          <w:rPr>
            <w:rStyle w:val="Hyperlink"/>
          </w:rPr>
          <w:t xml:space="preserve">Issue E6</w:t>
        </w:r>
      </w:hyperlink>
      <w:r>
        <w:t xml:space="preserve">, §2), which reduces the</w:t>
      </w:r>
      <w:r>
        <w:t xml:space="preserve"> </w:t>
      </w:r>
      <w:r>
        <w:t xml:space="preserve">risk.</w:t>
      </w:r>
    </w:p>
    <w:p>
      <w:pPr>
        <w:pStyle w:val="Compact"/>
        <w:numPr>
          <w:ilvl w:val="0"/>
          <w:numId w:val="1001"/>
        </w:numPr>
        <w:suppressLineNumbers/>
      </w:pPr>
      <w:r>
        <w:t xml:space="preserve">Related:</w:t>
      </w:r>
      <w:r>
        <w:t xml:space="preserve"> </w:t>
      </w:r>
      <w:hyperlink r:id="rId20">
        <w:r>
          <w:rPr>
            <w:rStyle w:val="Hyperlink"/>
          </w:rPr>
          <w:t xml:space="preserve">Issue E6</w:t>
        </w:r>
      </w:hyperlink>
      <w:r>
        <w:t xml:space="preserve">, E1, E2, D6, A3; Forms E6-1, E6-2, D6-1.</w:t>
      </w:r>
    </w:p>
    <w:bookmarkEnd w:id="23"/>
    <w:bookmarkEnd w:id="24"/>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r>
      <w:rPr>
        <w:rFonts w:ascii="Century Schoolbook" w:hAnsi="Century Schoolbook" w:cs="Century Schoolbook" w:eastAsia="Century Schoolbook"/>
        <w:i/>
        <w:sz w:val="16"/>
      </w:rPr>
      <w:t>[H.R. ____]  Discussion draft</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uppressLineNumbers/>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jc w:val="center"/>
    </w:pPr>
    <w:r>
      <w:rPr>
        <w:rFonts w:ascii="Century Schoolbook" w:hAnsi="Century Schoolbook" w:cs="Century Schoolbook" w:eastAsia="Century Schoolbook"/>
        <w:sz w:val="22"/>
      </w:rPr>
      <w:fldChar w:fldCharType="begin"/>
    </w:r>
    <w:r>
      <w:rPr>
        <w:rFonts w:ascii="Century Schoolbook" w:hAnsi="Century Schoolbook" w:cs="Century Schoolbook" w:eastAsia="Century Schoolbook"/>
        <w:sz w:val="22"/>
      </w:rPr>
      <w:instrText xml:space="preserve"> PAGE </w:instrText>
    </w:r>
    <w:r>
      <w:rPr>
        <w:rFonts w:ascii="Century Schoolbook" w:hAnsi="Century Schoolbook" w:cs="Century Schoolbook" w:eastAsia="Century Schoolbook"/>
        <w:sz w:val="22"/>
      </w:rPr>
      <w:fldChar w:fldCharType="separate"/>
    </w:r>
    <w:r>
      <w:rPr>
        <w:rFonts w:ascii="Century Schoolbook" w:hAnsi="Century Schoolbook" w:cs="Century Schoolbook" w:eastAsia="Century Schoolbook"/>
        <w:sz w:val="22"/>
      </w:rPr>
      <w:t>1</w:t>
    </w:r>
    <w:r>
      <w:rPr>
        <w:rFonts w:ascii="Century Schoolbook" w:hAnsi="Century Schoolbook" w:cs="Century Schoolbook" w:eastAsia="Century Schoolbook"/>
        <w:sz w:val="22"/>
      </w:rPr>
      <w:fldChar w:fldCharType="end"/>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uppressLineNumbers/>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auto"/>
    </w:pPr>
    <w:rPr>
      <w:rFonts w:ascii="Century Schoolbook" w:cs="Century Schoolbook" w:eastAsia="Century Schoolbook" w:hAnsi="Century Schoolbook"/>
      <w:color w:val="000000"/>
      <w:sz w:val="24"/>
    </w:rPr>
  </w:style>
  <w:style w:styleId="BodyText" w:type="paragraph">
    <w:name w:val="Body Text"/>
    <w:basedOn w:val="Normal"/>
    <w:link w:val="BodyTextChar"/>
    <w:pPr>
      <w:spacing w:after="0" w:before="0" w:line="240" w:lineRule="auto"/>
    </w:pPr>
    <w:qFormat/>
    <w:rPr>
      <w:rFonts w:ascii="Century Schoolbook" w:cs="Century Schoolbook" w:eastAsia="Century Schoolbook" w:hAnsi="Century Schoolbook"/>
      <w:color w:val="000000"/>
      <w:sz w:val="24"/>
    </w:rPr>
  </w:style>
  <w:style w:customStyle="1" w:styleId="FirstParagraph" w:type="paragraph">
    <w:name w:val="First Paragraph"/>
    <w:basedOn w:val="BodyText"/>
    <w:next w:val="BodyText"/>
    <w:qFormat/>
    <w:pPr>
      <w:spacing w:after="0" w:before="0" w:line="240" w:lineRule="auto"/>
    </w:pPr>
    <w:rPr>
      <w:rFonts w:ascii="Century Schoolbook" w:cs="Century Schoolbook" w:eastAsia="Century Schoolbook" w:hAnsi="Century Schoolbook"/>
      <w:color w:val="000000"/>
      <w:sz w:val="24"/>
    </w:rPr>
  </w:style>
  <w:style w:customStyle="1" w:styleId="Compact" w:type="paragraph">
    <w:name w:val="Compact"/>
    <w:basedOn w:val="BodyText"/>
    <w:qFormat/>
    <w:pPr>
      <w:spacing w:after="0" w:before="0" w:line="240" w:lineRule="auto"/>
    </w:pPr>
    <w:rPr>
      <w:rFonts w:ascii="Century Schoolbook" w:cs="Century Schoolbook" w:eastAsia="Century Schoolbook" w:hAnsi="Century Schoolbook"/>
      <w:color w:val="000000"/>
      <w:sz w:val="24"/>
    </w:rPr>
  </w:style>
  <w:style w:styleId="Title" w:type="paragraph">
    <w:name w:val="Title"/>
    <w:basedOn w:val="Normal"/>
    <w:next w:val="BodyText"/>
    <w:qFormat/>
    <w:pPr>
      <w:keepNext/>
      <w:keepLines/>
      <w:spacing w:after="160" w:before="480"/>
      <w:jc w:val="left"/>
    </w:pPr>
    <w:rPr>
      <w:rFonts w:ascii="Century Schoolbook" w:cs="Century Schoolbook" w:eastAsia="Century Schoolbook" w:hAnsi="Century Schoolbook"/>
      <w:b/>
      <w:bCs/>
      <w:color w:val="1A2B3C"/>
      <w:sz w:val="40"/>
      <w:szCs w:val="36"/>
    </w:rPr>
  </w:style>
  <w:style w:styleId="Subtitle" w:type="paragraph">
    <w:name w:val="Subtitle"/>
    <w:basedOn w:val="Title"/>
    <w:next w:val="BodyText"/>
    <w:qFormat/>
    <w:pPr>
      <w:keepNext/>
      <w:keepLines/>
      <w:spacing w:after="160" w:before="240"/>
      <w:jc w:val="left"/>
    </w:pPr>
    <w:rPr>
      <w:rFonts w:ascii="Century Schoolbook" w:cs="Century Schoolbook" w:eastAsia="Century Schoolbook" w:hAnsi="Century Schoolbook"/>
      <w:color w:val="1A2B3C"/>
      <w:sz w:val="22"/>
      <w:szCs w:val="30"/>
    </w:rPr>
  </w:style>
  <w:style w:customStyle="1" w:styleId="Author" w:type="paragraph">
    <w:name w:val="Author"/>
    <w:next w:val="BodyText"/>
    <w:qFormat/>
    <w:pPr>
      <w:keepNext/>
      <w:keepLines/>
      <w:jc w:val="center"/>
    </w:pPr>
    <w:rPr>
      <w:rFonts w:ascii="Century Schoolbook" w:cs="Century Schoolbook" w:eastAsia="Century Schoolbook" w:hAnsi="Century Schoolbook"/>
      <w:color w:val="000000"/>
    </w:rPr>
  </w:style>
  <w:style w:styleId="Date" w:type="paragraph">
    <w:name w:val="Date"/>
    <w:next w:val="BodyText"/>
    <w:qFormat/>
    <w:pPr>
      <w:keepNext/>
      <w:keepLines/>
      <w:jc w:val="center"/>
    </w:pPr>
    <w:rPr>
      <w:rFonts w:ascii="Century Schoolbook" w:cs="Century Schoolbook" w:eastAsia="Century Schoolbook" w:hAnsi="Century Schoolbook"/>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entury Schoolbook" w:cs="Century Schoolbook" w:eastAsia="Century Schoolbook" w:hAnsi="Century Schoolbook"/>
      <w:b/>
    </w:rPr>
  </w:style>
  <w:style w:customStyle="1" w:styleId="Abstract" w:type="paragraph">
    <w:name w:val="Abstract"/>
    <w:basedOn w:val="Normal"/>
    <w:next w:val="BodyText"/>
    <w:qFormat/>
    <w:pPr>
      <w:keepNext/>
      <w:keepLines/>
      <w:spacing w:after="300" w:before="100"/>
    </w:pPr>
    <w:rPr>
      <w:rFonts w:ascii="Century Schoolbook" w:cs="Century Schoolbook" w:eastAsia="Century Schoolbook" w:hAnsi="Century Schoolbook"/>
      <w:color w:val="000000"/>
      <w:sz w:val="20"/>
      <w:szCs w:val="20"/>
    </w:rPr>
  </w:style>
  <w:style w:styleId="Bibliography" w:type="paragraph">
    <w:name w:val="Bibliography"/>
    <w:basedOn w:val="Normal"/>
    <w:next w:val="Bibliography"/>
    <w:qFormat/>
    <w:pPr/>
    <w:rPr>
      <w:rFonts w:ascii="Century Schoolbook" w:cs="Century Schoolbook" w:eastAsia="Century Schoolbook" w:hAnsi="Century Schoolbook"/>
      <w:color w:val="000000"/>
    </w:rPr>
  </w:style>
  <w:style w:styleId="Heading1" w:type="paragraph">
    <w:name w:val="Heading 1"/>
    <w:basedOn w:val="Normal"/>
    <w:next w:val="BodyText"/>
    <w:uiPriority w:val="9"/>
    <w:qFormat/>
    <w:pPr>
      <w:keepNext/>
      <w:keepLines/>
      <w:spacing w:after="120" w:before="280"/>
      <w:outlineLvl w:val="0"/>
    </w:pPr>
    <w:rPr>
      <w:rFonts w:ascii="Century Schoolbook" w:cs="Century Schoolbook" w:eastAsia="Century Schoolbook" w:hAnsi="Century Schoolbook"/>
      <w:b/>
      <w:bCs/>
      <w:i w:val="0"/>
      <w:color w:val="000000"/>
      <w:sz w:val="24"/>
      <w:szCs w:val="32"/>
    </w:rPr>
  </w:style>
  <w:style w:styleId="Heading2" w:type="paragraph">
    <w:name w:val="Heading 2"/>
    <w:basedOn w:val="Normal"/>
    <w:next w:val="BodyText"/>
    <w:uiPriority w:val="9"/>
    <w:unhideWhenUsed/>
    <w:qFormat/>
    <w:pPr>
      <w:keepNext/>
      <w:keepLines/>
      <w:spacing w:after="120" w:before="200"/>
      <w:outlineLvl w:val="1"/>
    </w:pPr>
    <w:rPr>
      <w:rFonts w:ascii="Century Schoolbook" w:cs="Century Schoolbook" w:eastAsia="Century Schoolbook" w:hAnsi="Century Schoolbook"/>
      <w:b/>
      <w:bCs/>
      <w:i w:val="0"/>
      <w:color w:val="000000"/>
      <w:sz w:val="24"/>
      <w:szCs w:val="28"/>
    </w:rPr>
  </w:style>
  <w:style w:styleId="Heading3" w:type="paragraph">
    <w:name w:val="Heading 3"/>
    <w:basedOn w:val="Normal"/>
    <w:next w:val="BodyText"/>
    <w:uiPriority w:val="9"/>
    <w:unhideWhenUsed/>
    <w:qFormat/>
    <w:pPr>
      <w:keepNext/>
      <w:keepLines/>
      <w:spacing w:after="120" w:before="200"/>
      <w:outlineLvl w:val="2"/>
    </w:pPr>
    <w:rPr>
      <w:rFonts w:ascii="Century Schoolbook" w:cs="Century Schoolbook" w:eastAsia="Century Schoolbook" w:hAnsi="Century Schoolbook"/>
      <w:b/>
      <w:bCs/>
      <w:i w:val="0"/>
      <w:color w:val="000000"/>
      <w:sz w:val="24"/>
      <w:szCs w:val="24"/>
    </w:rPr>
  </w:style>
  <w:style w:styleId="Heading4" w:type="paragraph">
    <w:name w:val="Heading 4"/>
    <w:basedOn w:val="Normal"/>
    <w:next w:val="BodyText"/>
    <w:uiPriority w:val="9"/>
    <w:unhideWhenUsed/>
    <w:qFormat/>
    <w:pPr>
      <w:keepNext/>
      <w:keepLines/>
      <w:spacing w:after="120" w:before="200"/>
      <w:outlineLvl w:val="3"/>
    </w:pPr>
    <w:rPr>
      <w:rFonts w:ascii="Century Schoolbook" w:cs="Century Schoolbook" w:eastAsia="Century Schoolbook" w:hAnsi="Century Schoolbook"/>
      <w:i w:val="0"/>
      <w:b/>
      <w:bCs/>
      <w:color w:val="000000"/>
      <w:sz w:val="24"/>
      <w:szCs w:val="24"/>
    </w:rPr>
  </w:style>
  <w:style w:styleId="Heading5" w:type="paragraph">
    <w:name w:val="Heading 5"/>
    <w:basedOn w:val="Normal"/>
    <w:next w:val="BodyText"/>
    <w:uiPriority w:val="9"/>
    <w:unhideWhenUsed/>
    <w:qFormat/>
    <w:pPr>
      <w:keepNext/>
      <w:keepLines/>
      <w:spacing w:after="0" w:before="200"/>
      <w:outlineLvl w:val="4"/>
    </w:pPr>
    <w:rPr>
      <w:rFonts w:ascii="Century Schoolbook" w:cs="Century Schoolbook" w:eastAsia="Century Schoolbook" w:hAnsi="Century Schoolbook"/>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entury Schoolbook" w:cs="Century Schoolbook" w:eastAsia="Century Schoolbook" w:hAnsi="Century Schoolbook"/>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entury Schoolbook" w:cs="Century Schoolbook" w:eastAsia="Century Schoolbook" w:hAnsi="Century Schoolbook"/>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entury Schoolbook" w:cs="Century Schoolbook" w:eastAsia="Century Schoolbook" w:hAnsi="Century Schoolbook"/>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entury Schoolbook" w:cs="Century Schoolbook" w:eastAsia="Century Schoolbook" w:hAnsi="Century Schoolbook"/>
      <w:color w:val="000000"/>
      <w:sz w:val="24"/>
      <w:szCs w:val="24"/>
    </w:rPr>
  </w:style>
  <w:style w:styleId="BlockText" w:type="paragraph">
    <w:name w:val="Block Text"/>
    <w:basedOn w:val="BodyText"/>
    <w:next w:val="BodyText"/>
    <w:uiPriority w:val="9"/>
    <w:unhideWhenUsed/>
    <w:qFormat/>
    <w:pPr>
      <w:spacing w:after="0" w:before="0" w:line="240" w:lineRule="auto"/>
      <w:ind w:firstLine="0" w:left="720" w:right="720"/>
    </w:pPr>
    <w:rPr>
      <w:rFonts w:ascii="Century Schoolbook" w:cs="Century Schoolbook" w:eastAsia="Century Schoolbook" w:hAnsi="Century Schoolbook"/>
      <w:color w:val="000000"/>
      <w:sz w:val="24"/>
    </w:rPr>
  </w:style>
  <w:style w:styleId="FootnoteText" w:type="paragraph">
    <w:name w:val="Footnote Text"/>
    <w:basedOn w:val="Normal"/>
    <w:next w:val="FootnoteText"/>
    <w:uiPriority w:val="9"/>
    <w:unhideWhenUsed/>
    <w:qFormat/>
    <w:rPr>
      <w:rFonts w:ascii="Century Schoolbook" w:cs="Century Schoolbook" w:eastAsia="Century Schoolbook" w:hAnsi="Century Schoolbook"/>
      <w:color w:val="000000"/>
    </w:rPr>
  </w:style>
  <w:style w:default="1" w:styleId="DefaultParagraphFont" w:type="character">
    <w:name w:val="Default Paragraph Font"/>
    <w:semiHidden/>
    <w:unhideWhenUsed/>
    <w:rPr>
      <w:rFonts w:ascii="Century Schoolbook" w:cs="Century Schoolbook" w:eastAsia="Century Schoolbook" w:hAnsi="Century Schoolbook"/>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entury Schoolbook" w:cs="Century Schoolbook" w:eastAsia="Century Schoolbook" w:hAnsi="Century Schoolbook"/>
      <w:b/>
      <w:color w:val="000000"/>
    </w:rPr>
  </w:style>
  <w:style w:customStyle="1" w:styleId="Definition" w:type="paragraph">
    <w:name w:val="Definition"/>
    <w:basedOn w:val="Normal"/>
    <w:rPr>
      <w:rFonts w:ascii="Century Schoolbook" w:cs="Century Schoolbook" w:eastAsia="Century Schoolbook" w:hAnsi="Century Schoolbook"/>
      <w:color w:val="000000"/>
    </w:rPr>
  </w:style>
  <w:style w:styleId="Caption" w:type="paragraph">
    <w:name w:val="Caption"/>
    <w:basedOn w:val="Normal"/>
    <w:link w:val="BodyTextChar"/>
    <w:pPr>
      <w:spacing w:after="120" w:before="0"/>
    </w:pPr>
    <w:rPr>
      <w:rFonts w:ascii="Century Schoolbook" w:cs="Century Schoolbook" w:eastAsia="Century Schoolbook" w:hAnsi="Century Schoolbook"/>
      <w:i/>
      <w:color w:val="000000"/>
    </w:rPr>
  </w:style>
  <w:style w:customStyle="1" w:styleId="TableCaption" w:type="paragraph">
    <w:name w:val="Table Caption"/>
    <w:basedOn w:val="Caption"/>
    <w:pPr>
      <w:keepNext/>
    </w:pPr>
    <w:rPr>
      <w:rFonts w:ascii="Century Schoolbook" w:cs="Century Schoolbook" w:eastAsia="Century Schoolbook" w:hAnsi="Century Schoolbook"/>
      <w:color w:val="000000"/>
    </w:rPr>
  </w:style>
  <w:style w:customStyle="1" w:styleId="ImageCaption" w:type="paragraph">
    <w:name w:val="Image Caption"/>
    <w:basedOn w:val="Caption"/>
    <w:rPr>
      <w:rFonts w:ascii="Century Schoolbook" w:cs="Century Schoolbook" w:eastAsia="Century Schoolbook" w:hAnsi="Century Schoolbook"/>
      <w:color w:val="000000"/>
    </w:rPr>
  </w:style>
  <w:style w:customStyle="1" w:styleId="Figure" w:type="paragraph">
    <w:name w:val="Figure"/>
    <w:basedOn w:val="Normal"/>
    <w:rPr>
      <w:rFonts w:ascii="Century Schoolbook" w:cs="Century Schoolbook" w:eastAsia="Century Schoolbook" w:hAnsi="Century Schoolbook"/>
      <w:color w:val="000000"/>
    </w:rPr>
  </w:style>
  <w:style w:customStyle="1" w:styleId="CaptionedFigure" w:type="paragraph">
    <w:name w:val="Captioned Figure"/>
    <w:basedOn w:val="Figure"/>
    <w:pPr>
      <w:keepNext/>
    </w:pPr>
    <w:rPr>
      <w:rFonts w:ascii="Century Schoolbook" w:cs="Century Schoolbook" w:eastAsia="Century Schoolbook" w:hAnsi="Century Schoolbook"/>
      <w:color w:val="000000"/>
    </w:rPr>
  </w:style>
  <w:style w:customStyle="1" w:styleId="BodyTextChar" w:type="character">
    <w:name w:val="Body Text Char"/>
    <w:basedOn w:val="DefaultParagraphFont"/>
    <w:link w:val="BodyText"/>
    <w:rPr>
      <w:rFonts w:ascii="Century Schoolbook" w:cs="Century Schoolbook" w:eastAsia="Century Schoolbook" w:hAnsi="Century Schoolbook"/>
      <w:color w:val="000000"/>
    </w:rPr>
  </w:style>
  <w:style w:customStyle="1" w:styleId="VerbatimChar" w:type="character">
    <w:name w:val="Verbatim Char"/>
    <w:basedOn w:val="BodyTextChar"/>
    <w:rPr>
      <w:rFonts w:ascii="Century Schoolbook" w:cs="Century Schoolbook" w:eastAsia="Century Schoolbook" w:hAnsi="Century Schoolbook"/>
      <w:color w:val="000000"/>
      <w:sz w:val="22"/>
    </w:rPr>
  </w:style>
  <w:style w:customStyle="1" w:styleId="SectionNumber" w:type="character">
    <w:name w:val="Section Number"/>
    <w:basedOn w:val="BodyTextChar"/>
    <w:rPr>
      <w:rFonts w:ascii="Century Schoolbook" w:cs="Century Schoolbook" w:eastAsia="Century Schoolbook" w:hAnsi="Century Schoolbook"/>
      <w:color w:val="000000"/>
    </w:rPr>
  </w:style>
  <w:style w:styleId="FootnoteReference" w:type="character">
    <w:name w:val="Footnote Reference"/>
    <w:basedOn w:val="BodyTextChar"/>
    <w:rPr>
      <w:rFonts w:ascii="Century Schoolbook" w:cs="Century Schoolbook" w:eastAsia="Century Schoolbook" w:hAnsi="Century Schoolbook"/>
      <w:color w:val="000000"/>
      <w:vertAlign w:val="superscript"/>
    </w:rPr>
  </w:style>
  <w:style w:styleId="Hyperlink" w:type="character">
    <w:name w:val="Hyperlink"/>
    <w:basedOn w:val="BodyTextChar"/>
    <w:rPr>
      <w:rFonts w:ascii="Century Schoolbook" w:cs="Century Schoolbook" w:eastAsia="Century Schoolbook" w:hAnsi="Century Schoolbook"/>
      <w:color w:val="1F6E6E"/>
    </w:rPr>
  </w:style>
  <w:style w:styleId="TOCHeading" w:type="paragraph">
    <w:name w:val="TOC Heading"/>
    <w:basedOn w:val="Heading1"/>
    <w:next w:val="BodyText"/>
    <w:uiPriority w:val="39"/>
    <w:unhideWhenUsed/>
    <w:qFormat/>
    <w:pPr>
      <w:spacing w:before="240" w:line="259" w:lineRule="auto"/>
      <w:outlineLvl w:val="9"/>
    </w:pPr>
    <w:rPr>
      <w:rFonts w:ascii="Century Schoolbook" w:cs="Century Schoolbook" w:eastAsia="Century Schoolbook" w:hAnsi="Century Schoolbook"/>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1" Type="http://schemas.openxmlformats.org/officeDocument/2006/relationships/hyperlink" Target="https://nhilaw.com/forms/e6-1.html" TargetMode="External"/><Relationship Id="rId22" Type="http://schemas.openxmlformats.org/officeDocument/2006/relationships/hyperlink" Target="https://nhilaw.com/issues/a1.html" TargetMode="External"/><Relationship Id="rId20" Type="http://schemas.openxmlformats.org/officeDocument/2006/relationships/hyperlink" Target="https://nhilaw.com/issues/e6.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1" Type="http://schemas.openxmlformats.org/officeDocument/2006/relationships/hyperlink" Target="https://nhilaw.com/forms/e6-1.html" TargetMode="External"/><Relationship Id="rId22" Type="http://schemas.openxmlformats.org/officeDocument/2006/relationships/hyperlink" Target="https://nhilaw.com/issues/a1.html" TargetMode="External"/><Relationship Id="rId20" Type="http://schemas.openxmlformats.org/officeDocument/2006/relationships/hyperlink" Target="https://nhilaw.com/issues/e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E6-3. Model Statute: Patents and Technology Derived from Non-Human Intelligence</dc:title>
  <dc:creator>nhilaw.com</dc:creator>
  <cp:keywords/>
  <dcterms:created xsi:type="dcterms:W3CDTF">2026-10-19T03:14:39Z</dcterms:created>
  <dcterms:modified xsi:type="dcterms:W3CDTF">2026-10-19T03:14:39Z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