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7" w:name="X2219805b47c4fc5e853e5db174f34059bbd3dba"/>
    <w:p>
      <w:pPr>
        <w:pStyle w:val="Heading1"/>
      </w:pPr>
      <w:r>
        <w:t xml:space="preserve">Form F1-1. Next-Friend Petition for a Writ of Habeas Corpus on Behalf of a Detained Non-Human Being</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https://nhilaw.com/forms/f1-1.html</w:t>
      </w:r>
    </w:p>
    <w:p>
      <w:pPr>
        <w:pStyle w:val="BodyText"/>
        <w:spacing w:after="160" w:line="259" w:lineRule="auto"/>
      </w:pPr>
      <w:r>
        <w:rPr>
          <w:bCs/>
          <w:b/>
        </w:rPr>
        <w:t xml:space="preserve">Use.</w:t>
      </w:r>
      <w:r>
        <w:t xml:space="preserve"> </w:t>
      </w:r>
      <w:r>
        <w:t xml:space="preserve">This petition is written for the premise of the site: that a living, intelligent non-human</w:t>
      </w:r>
      <w:r>
        <w:t xml:space="preserve"> </w:t>
      </w:r>
      <w:r>
        <w:t xml:space="preserve">being is held in the custody of the United States or its contractor. No court has decided whether such</w:t>
      </w:r>
      <w:r>
        <w:t xml:space="preserve"> </w:t>
      </w:r>
      <w:r>
        <w:t xml:space="preserve">a being may seek habeas corpus. The petition is built to survive the threshold motions the government</w:t>
      </w:r>
      <w:r>
        <w:t xml:space="preserve"> </w:t>
      </w:r>
      <w:r>
        <w:t xml:space="preserve">will file: (1) that the petitioner is not a proper next friend; (2) that the detained being is not a</w:t>
      </w:r>
      <w:r>
        <w:t xml:space="preserve"> </w:t>
      </w:r>
      <w:r>
        <w:t xml:space="preserve">“</w:t>
      </w:r>
      <w:r>
        <w:t xml:space="preserve">person</w:t>
      </w:r>
      <w:r>
        <w:t xml:space="preserve">”</w:t>
      </w:r>
      <w:r>
        <w:t xml:space="preserve"> </w:t>
      </w:r>
      <w:r>
        <w:t xml:space="preserve">or</w:t>
      </w:r>
      <w:r>
        <w:t xml:space="preserve"> </w:t>
      </w:r>
      <w:r>
        <w:t xml:space="preserve">“</w:t>
      </w:r>
      <w:r>
        <w:t xml:space="preserve">prisoner</w:t>
      </w:r>
      <w:r>
        <w:t xml:space="preserve">”</w:t>
      </w:r>
      <w:r>
        <w:t xml:space="preserve"> </w:t>
      </w:r>
      <w:r>
        <w:t xml:space="preserve">who may invoke the writ; (3) that the respondent and venue are wrong; and (4)</w:t>
      </w:r>
      <w:r>
        <w:t xml:space="preserve"> </w:t>
      </w:r>
      <w:r>
        <w:t xml:space="preserve">that the state secrets privilege or the</w:t>
      </w:r>
      <w:r>
        <w:t xml:space="preserve"> </w:t>
      </w:r>
      <w:r>
        <w:rPr>
          <w:iCs/>
          <w:i/>
        </w:rPr>
        <w:t xml:space="preserve">Totten</w:t>
      </w:r>
      <w:r>
        <w:t xml:space="preserve"> </w:t>
      </w:r>
      <w:r>
        <w:t xml:space="preserve">bar forecloses the case. Read</w:t>
      </w:r>
      <w:r>
        <w:t xml:space="preserve"> </w:t>
      </w:r>
      <w:hyperlink r:id="rId20">
        <w:r>
          <w:rPr>
            <w:rStyle w:val="Hyperlink"/>
          </w:rPr>
          <w:t xml:space="preserve">Issue F1</w:t>
        </w:r>
      </w:hyperlink>
      <w:r>
        <w:t xml:space="preserve"> </w:t>
      </w:r>
      <w:r>
        <w:t xml:space="preserve">(legal status),</w:t>
      </w:r>
      <w:r>
        <w:t xml:space="preserve"> </w:t>
      </w:r>
      <w:hyperlink r:id="rId21">
        <w:r>
          <w:rPr>
            <w:rStyle w:val="Hyperlink"/>
          </w:rPr>
          <w:t xml:space="preserve">Issue F2</w:t>
        </w:r>
      </w:hyperlink>
      <w:r>
        <w:t xml:space="preserve"> </w:t>
      </w:r>
      <w:r>
        <w:t xml:space="preserve">(detention), and</w:t>
      </w:r>
      <w:r>
        <w:t xml:space="preserve"> </w:t>
      </w:r>
      <w:hyperlink r:id="rId22">
        <w:r>
          <w:rPr>
            <w:rStyle w:val="Hyperlink"/>
          </w:rPr>
          <w:t xml:space="preserve">Issue A1</w:t>
        </w:r>
      </w:hyperlink>
      <w:r>
        <w:t xml:space="preserve"> </w:t>
      </w:r>
      <w:r>
        <w:t xml:space="preserve">(state secrets) before adapting it. Counsel must have a good-faith</w:t>
      </w:r>
      <w:r>
        <w:t xml:space="preserve"> </w:t>
      </w:r>
      <w:r>
        <w:t xml:space="preserve">factual basis under Rule 11 for every allegation; the facts below are placeholders.</w:t>
      </w:r>
    </w:p>
    <w:p>
      <w:pPr>
        <w:pStyle w:val="BodyText"/>
        <w:spacing w:after="160" w:line="259" w:lineRule="auto"/>
      </w:pPr>
      <w:r>
        <w:rPr>
          <w:bCs/>
          <w:b/>
        </w:rPr>
        <w:t xml:space="preserve">When to use.</w:t>
      </w:r>
      <w:r>
        <w:t xml:space="preserve"> </w:t>
      </w:r>
      <w:r>
        <w:t xml:space="preserve">A next friend seeking habeas relief for a non-human intelligence held by the United States.</w:t>
      </w:r>
      <w:r>
        <w:t xml:space="preserve"> </w:t>
      </w:r>
      <w:r>
        <w:rPr>
          <w:bCs/>
          <w:b/>
        </w:rPr>
        <w:t xml:space="preserve">Not for:</w:t>
      </w:r>
      <w:r>
        <w:t xml:space="preserve"> </w:t>
      </w:r>
      <w:r>
        <w:t xml:space="preserve">Claims for damages or for animals.</w:t>
      </w:r>
    </w:p>
    <w:p>
      <w:pPr>
        <w:pStyle w:val="BodyText"/>
        <w:spacing w:after="160" w:line="259" w:lineRule="auto"/>
      </w:pPr>
      <w:r>
        <w:rPr>
          <w:bCs/>
          <w:b/>
        </w:rPr>
        <w:t xml:space="preserve">Deadlines.</w:t>
      </w:r>
      <w:r>
        <w:t xml:space="preserve"> </w:t>
      </w:r>
      <w:r>
        <w:t xml:space="preserve">None by statute; file promptly after facts support custody.</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DISTRICT OF COLUMBIA</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[NAME OR DESIGNATION OF</w:t>
            </w:r>
          </w:p>
          <w:p>
            <w:pPr>
              <w:spacing w:lineRule="exact" w:line="240" w:before="0" w:after="0"/>
            </w:pPr>
            <w:r>
              <w:rPr>
                <w:rFonts w:ascii="Times New Roman" w:hAnsi="Times New Roman" w:cs="Times New Roman" w:eastAsia="Times New Roman"/>
                <w:b w:val="0"/>
                <w:sz w:val="24"/>
              </w:rPr>
              <w:t>DETAINED BEING, if known;</w:t>
            </w:r>
          </w:p>
          <w:p>
            <w:pPr>
              <w:spacing w:lineRule="exact" w:line="240" w:before="0" w:after="0"/>
            </w:pPr>
            <w:r>
              <w:rPr>
                <w:rFonts w:ascii="Times New Roman" w:hAnsi="Times New Roman" w:cs="Times New Roman" w:eastAsia="Times New Roman"/>
                <w:b w:val="0"/>
                <w:sz w:val="24"/>
              </w:rPr>
              <w:t>otherwise "AN UNNAMED NON-HUMAN</w:t>
            </w:r>
          </w:p>
          <w:p>
            <w:pPr>
              <w:spacing w:lineRule="exact" w:line="240" w:before="0" w:after="0"/>
            </w:pPr>
            <w:r>
              <w:rPr>
                <w:rFonts w:ascii="Times New Roman" w:hAnsi="Times New Roman" w:cs="Times New Roman" w:eastAsia="Times New Roman"/>
                <w:b w:val="0"/>
                <w:sz w:val="24"/>
              </w:rPr>
              <w:t>BEING DETAINED BY THE UNITED</w:t>
            </w:r>
          </w:p>
          <w:p>
            <w:pPr>
              <w:spacing w:lineRule="exact" w:line="240" w:before="0" w:after="0"/>
            </w:pPr>
            <w:r>
              <w:rPr>
                <w:rFonts w:ascii="Times New Roman" w:hAnsi="Times New Roman" w:cs="Times New Roman" w:eastAsia="Times New Roman"/>
                <w:b w:val="0"/>
                <w:sz w:val="24"/>
              </w:rPr>
              <w:t>STATES"], by and through [NEXT</w:t>
            </w:r>
          </w:p>
          <w:p>
            <w:pPr>
              <w:spacing w:lineRule="exact" w:line="240" w:before="0" w:after="0"/>
            </w:pPr>
            <w:r>
              <w:rPr>
                <w:rFonts w:ascii="Times New Roman" w:hAnsi="Times New Roman" w:cs="Times New Roman" w:eastAsia="Times New Roman"/>
                <w:b w:val="0"/>
                <w:sz w:val="24"/>
              </w:rPr>
              <w:t>FRIEND], as Next Friend,</w:t>
            </w:r>
          </w:p>
          <w:p>
            <w:pPr>
              <w:spacing w:lineRule="exact" w:line="240" w:before="0" w:after="0"/>
              <w:ind w:left="2160"/>
            </w:pPr>
            <w:r>
              <w:rPr>
                <w:rFonts w:ascii="Times New Roman" w:hAnsi="Times New Roman" w:cs="Times New Roman" w:eastAsia="Times New Roman"/>
                <w:b w:val="0"/>
                <w:sz w:val="24"/>
              </w:rPr>
              <w:t>Petitioner,</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[SECRETARY OF WAR / HEAD OF</w:t>
            </w:r>
          </w:p>
          <w:p>
            <w:pPr>
              <w:spacing w:lineRule="exact" w:line="240" w:before="0" w:after="0"/>
            </w:pPr>
            <w:r>
              <w:rPr>
                <w:rFonts w:ascii="Times New Roman" w:hAnsi="Times New Roman" w:cs="Times New Roman" w:eastAsia="Times New Roman"/>
                <w:b w:val="0"/>
                <w:sz w:val="24"/>
              </w:rPr>
              <w:t>AGENCY HAVING CUSTODY], in</w:t>
            </w:r>
          </w:p>
          <w:p>
            <w:pPr>
              <w:spacing w:lineRule="exact" w:line="240" w:before="0" w:after="0"/>
            </w:pPr>
            <w:r>
              <w:rPr>
                <w:rFonts w:ascii="Times New Roman" w:hAnsi="Times New Roman" w:cs="Times New Roman" w:eastAsia="Times New Roman"/>
                <w:b w:val="0"/>
                <w:sz w:val="24"/>
              </w:rPr>
              <w:t>[his/her] official capacity;</w:t>
            </w:r>
          </w:p>
          <w:p>
            <w:pPr>
              <w:spacing w:lineRule="exact" w:line="240" w:before="0" w:after="0"/>
            </w:pPr>
            <w:r>
              <w:rPr>
                <w:rFonts w:ascii="Times New Roman" w:hAnsi="Times New Roman" w:cs="Times New Roman" w:eastAsia="Times New Roman"/>
                <w:b w:val="0"/>
                <w:sz w:val="24"/>
              </w:rPr>
              <w:t>[COMMANDER OR OFFICIAL WITH</w:t>
            </w:r>
          </w:p>
          <w:p>
            <w:pPr>
              <w:spacing w:lineRule="exact" w:line="240" w:before="0" w:after="0"/>
            </w:pPr>
            <w:r>
              <w:rPr>
                <w:rFonts w:ascii="Times New Roman" w:hAnsi="Times New Roman" w:cs="Times New Roman" w:eastAsia="Times New Roman"/>
                <w:b w:val="0"/>
                <w:sz w:val="24"/>
              </w:rPr>
              <w:t>IMMEDIATE CUSTODY, if known];</w:t>
            </w:r>
          </w:p>
          <w:p>
            <w:pPr>
              <w:spacing w:lineRule="exact" w:line="240" w:before="0" w:after="0"/>
            </w:pPr>
            <w:r>
              <w:rPr>
                <w:rFonts w:ascii="Times New Roman" w:hAnsi="Times New Roman" w:cs="Times New Roman" w:eastAsia="Times New Roman"/>
                <w:b w:val="0"/>
                <w:sz w:val="24"/>
              </w:rPr>
              <w:t>and [CONTRACTOR, if custody is</w:t>
            </w:r>
          </w:p>
          <w:p>
            <w:pPr>
              <w:spacing w:lineRule="exact" w:line="240" w:before="0" w:after="0"/>
            </w:pPr>
            <w:r>
              <w:rPr>
                <w:rFonts w:ascii="Times New Roman" w:hAnsi="Times New Roman" w:cs="Times New Roman" w:eastAsia="Times New Roman"/>
                <w:b w:val="0"/>
                <w:sz w:val="24"/>
              </w:rPr>
              <w:t>held by a contractor],</w:t>
            </w:r>
          </w:p>
          <w:p>
            <w:pPr>
              <w:spacing w:lineRule="exact" w:line="240" w:before="0" w:after="0"/>
              <w:ind w:left="2160"/>
            </w:pPr>
            <w:r>
              <w:rPr>
                <w:rFonts w:ascii="Times New Roman" w:hAnsi="Times New Roman" w:cs="Times New Roman" w:eastAsia="Times New Roman"/>
                <w:b w:val="0"/>
                <w:sz w:val="24"/>
              </w:rPr>
              <w:t>Respondents.</w:t>
            </w: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w:t>
            </w:r>
          </w:p>
          <w:p>
            <w:pPr>
              <w:spacing w:lineRule="exact" w:line="240" w:before="0" w:after="0"/>
            </w:pPr>
          </w:p>
          <w:p>
            <w:pPr>
              <w:spacing w:lineRule="exact" w:line="240" w:before="0" w:after="0"/>
            </w:pPr>
            <w:r>
              <w:rPr>
                <w:rFonts w:ascii="Times New Roman" w:hAnsi="Times New Roman" w:cs="Times New Roman" w:eastAsia="Times New Roman"/>
                <w:b/>
                <w:sz w:val="24"/>
              </w:rPr>
              <w:t>PETITION FOR A WRIT OF</w:t>
            </w:r>
          </w:p>
          <w:p>
            <w:pPr>
              <w:spacing w:lineRule="exact" w:line="240" w:before="0" w:after="0"/>
            </w:pPr>
            <w:r>
              <w:rPr>
                <w:rFonts w:ascii="Times New Roman" w:hAnsi="Times New Roman" w:cs="Times New Roman" w:eastAsia="Times New Roman"/>
                <w:b/>
                <w:sz w:val="24"/>
              </w:rPr>
              <w:t>HABEAS CORPUS (28</w:t>
            </w:r>
          </w:p>
          <w:p>
            <w:pPr>
              <w:spacing w:lineRule="exact" w:line="240" w:before="0" w:after="0"/>
            </w:pPr>
            <w:r>
              <w:rPr>
                <w:rFonts w:ascii="Times New Roman" w:hAnsi="Times New Roman" w:cs="Times New Roman" w:eastAsia="Times New Roman"/>
                <w:b/>
                <w:sz w:val="24"/>
              </w:rPr>
              <w:t>U.S.C. §§ 2241, 2242)</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keepNext/>
        <w:spacing w:lineRule="exact" w:line="480" w:before="0" w:after="0"/>
        <w:jc w:val="center"/>
      </w:pPr>
      <w:r>
        <w:rPr>
          <w:bCs/>
          <w:b/>
        </w:rPr>
        <w:t xml:space="preserve">INTRODUCTION</w:t>
      </w:r>
    </w:p>
    <w:p>
      <w:pPr>
        <w:numPr>
          <w:ilvl w:val="0"/>
          <w:numId w:val="1001"/>
        </w:numPr>
        <w:spacing w:lineRule="exact" w:line="480" w:before="0" w:after="0"/>
      </w:pPr>
      <w:r>
        <w:t xml:space="preserve">This petition asks the Court to require the United States to answer a question no court has</w:t>
      </w:r>
      <w:r>
        <w:t xml:space="preserve"> </w:t>
      </w:r>
      <w:r>
        <w:t xml:space="preserve">answered: whether an intelligent being held in federal custody, who is not human, may ask a court to</w:t>
      </w:r>
      <w:r>
        <w:t xml:space="preserve"> </w:t>
      </w:r>
      <w:r>
        <w:t xml:space="preserve">examine the lawfulness of that custody. Petitioner does not ask the Court to decide what rights such</w:t>
      </w:r>
      <w:r>
        <w:t xml:space="preserve"> </w:t>
      </w:r>
      <w:r>
        <w:t xml:space="preserve">a being ultimately has. Petitioner asks the Court to issue an order to show cause, require</w:t>
      </w:r>
      <w:r>
        <w:t xml:space="preserve"> </w:t>
      </w:r>
      <w:r>
        <w:t xml:space="preserve">Respondents to state the legal authority under which the being is held, and provide a hearing.</w:t>
      </w:r>
    </w:p>
    <w:p>
      <w:pPr>
        <w:numPr>
          <w:ilvl w:val="0"/>
          <w:numId w:val="1001"/>
        </w:numPr>
        <w:spacing w:lineRule="exact" w:line="480" w:before="0" w:after="0"/>
      </w:pPr>
      <w:r>
        <w:t xml:space="preserve">The writ of habeas corpus has always been the means by which a court requires the custodian of a</w:t>
      </w:r>
      <w:r>
        <w:t xml:space="preserve"> </w:t>
      </w:r>
      <w:r>
        <w:t xml:space="preserve">body to produce it and justify the custody. The writ was used for persons the law of the time</w:t>
      </w:r>
      <w:r>
        <w:t xml:space="preserve"> </w:t>
      </w:r>
      <w:r>
        <w:t xml:space="preserve">classified as property.</w:t>
      </w:r>
      <w:r>
        <w:t xml:space="preserve"> </w:t>
      </w:r>
      <w:r>
        <w:rPr>
          <w:iCs/>
          <w:i/>
        </w:rPr>
        <w:t xml:space="preserve">Somerset v. Stewart</w:t>
      </w:r>
      <w:r>
        <w:t xml:space="preserve"> </w:t>
      </w:r>
      <w:r>
        <w:t xml:space="preserve">(K.B. 1772). The Supreme Court has held that the</w:t>
      </w:r>
      <w:r>
        <w:t xml:space="preserve"> </w:t>
      </w:r>
      <w:r>
        <w:t xml:space="preserve">privilege of the writ reaches persons held by the United States outside its sovereign territory, as a</w:t>
      </w:r>
      <w:r>
        <w:t xml:space="preserve"> </w:t>
      </w:r>
      <w:r>
        <w:t xml:space="preserve">matter of the Suspension Clause.</w:t>
      </w:r>
      <w:r>
        <w:t xml:space="preserve"> </w:t>
      </w:r>
      <w:r>
        <w:rPr>
          <w:iCs/>
          <w:i/>
        </w:rPr>
        <w:t xml:space="preserve">Boumediene v. Bush</w:t>
      </w:r>
      <w:r>
        <w:t xml:space="preserve">, 553 U.S. 723, 771 (2008).</w:t>
      </w:r>
    </w:p>
    <w:p>
      <w:pPr>
        <w:pStyle w:val="FirstParagraph"/>
        <w:keepNext/>
        <w:spacing w:lineRule="exact" w:line="480" w:before="0" w:after="0"/>
        <w:jc w:val="center"/>
      </w:pPr>
      <w:r>
        <w:rPr>
          <w:bCs/>
          <w:b/>
        </w:rPr>
        <w:t xml:space="preserve">JURISDICTION AND VENUE</w:t>
      </w:r>
    </w:p>
    <w:p>
      <w:pPr>
        <w:numPr>
          <w:ilvl w:val="0"/>
          <w:numId w:val="1002"/>
        </w:numPr>
        <w:spacing w:lineRule="exact" w:line="480" w:before="0" w:after="0"/>
      </w:pPr>
      <w:r>
        <w:t xml:space="preserve">The Court has jurisdiction under 28 U.S.C. § 2241(a) and (c)(1), because the detained being is</w:t>
      </w:r>
      <w:r>
        <w:t xml:space="preserve"> </w:t>
      </w:r>
      <w:r>
        <w:t xml:space="preserve">“</w:t>
      </w:r>
      <w:r>
        <w:t xml:space="preserve">in</w:t>
      </w:r>
      <w:r>
        <w:t xml:space="preserve"> </w:t>
      </w:r>
      <w:r>
        <w:t xml:space="preserve">custody under or by color of the authority of the United States,</w:t>
      </w:r>
      <w:r>
        <w:t xml:space="preserve">”</w:t>
      </w:r>
      <w:r>
        <w:t xml:space="preserve"> </w:t>
      </w:r>
      <w:r>
        <w:t xml:space="preserve">and under 28 U.S.C. § 1331 and</w:t>
      </w:r>
      <w:r>
        <w:t xml:space="preserve"> </w:t>
      </w:r>
      <w:r>
        <w:t xml:space="preserve">U.S. Const. art. I, § 9, cl. 2.</w:t>
      </w:r>
    </w:p>
    <w:p>
      <w:pPr>
        <w:numPr>
          <w:ilvl w:val="0"/>
          <w:numId w:val="1002"/>
        </w:numPr>
        <w:spacing w:lineRule="exact" w:line="480" w:before="0" w:after="0"/>
      </w:pPr>
      <w:r>
        <w:t xml:space="preserve">Venue lies in this District because [Respondent ____, who has legal control over the detained</w:t>
      </w:r>
      <w:r>
        <w:t xml:space="preserve"> </w:t>
      </w:r>
      <w:r>
        <w:t xml:space="preserve">being, is located here / the location of custody is unknown to Petitioner and the official with</w:t>
      </w:r>
      <w:r>
        <w:t xml:space="preserve"> </w:t>
      </w:r>
      <w:r>
        <w:t xml:space="preserve">ultimate control is located here].</w:t>
      </w:r>
      <w:r>
        <w:t xml:space="preserve"> </w:t>
      </w:r>
      <w:r>
        <w:rPr>
          <w:iCs/>
          <w:i/>
        </w:rPr>
        <w:t xml:space="preserve">See Rumsfeld v. Padilla</w:t>
      </w:r>
      <w:r>
        <w:t xml:space="preserve">, 542 U.S. 426, 435, 450 n.18 (2004)</w:t>
      </w:r>
      <w:r>
        <w:t xml:space="preserve"> </w:t>
      </w:r>
      <w:r>
        <w:t xml:space="preserve">(the default respondent in a challenge to present physical confinement is the immediate custodian, and</w:t>
      </w:r>
      <w:r>
        <w:t xml:space="preserve"> </w:t>
      </w:r>
      <w:r>
        <w:t xml:space="preserve">jurisdiction lies in the district of confinement, but</w:t>
      </w:r>
      <w:r>
        <w:t xml:space="preserve"> </w:t>
      </w:r>
      <w:r>
        <w:t xml:space="preserve">“</w:t>
      </w:r>
      <w:r>
        <w:t xml:space="preserve">[w]hen … a prisoner is held in an undisclosed</w:t>
      </w:r>
      <w:r>
        <w:t xml:space="preserve"> </w:t>
      </w:r>
      <w:r>
        <w:t xml:space="preserve">location by an unknown custodian, it is impossible to apply the immediate custodian and district of</w:t>
      </w:r>
      <w:r>
        <w:t xml:space="preserve"> </w:t>
      </w:r>
      <w:r>
        <w:t xml:space="preserve">confinement rules</w:t>
      </w:r>
      <w:r>
        <w:t xml:space="preserve">”</w:t>
      </w:r>
      <w:r>
        <w:t xml:space="preserve">) (discussing</w:t>
      </w:r>
      <w:r>
        <w:t xml:space="preserve"> </w:t>
      </w:r>
      <w:r>
        <w:rPr>
          <w:iCs/>
          <w:i/>
        </w:rPr>
        <w:t xml:space="preserve">Demjanjuk v. Meese</w:t>
      </w:r>
      <w:r>
        <w:t xml:space="preserve">, 784 F.2d 1114 (D.C. Cir. 1986)). [Adapt to the</w:t>
      </w:r>
      <w:r>
        <w:t xml:space="preserve"> </w:t>
      </w:r>
      <w:r>
        <w:t xml:space="preserve">facts known.]</w:t>
      </w:r>
    </w:p>
    <w:p>
      <w:pPr>
        <w:pStyle w:val="FirstParagraph"/>
        <w:keepNext/>
        <w:spacing w:lineRule="exact" w:line="480" w:before="0" w:after="0"/>
        <w:jc w:val="center"/>
      </w:pPr>
      <w:r>
        <w:rPr>
          <w:bCs/>
          <w:b/>
        </w:rPr>
        <w:t xml:space="preserve">PARTIES</w:t>
      </w:r>
    </w:p>
    <w:p>
      <w:pPr>
        <w:numPr>
          <w:ilvl w:val="0"/>
          <w:numId w:val="1003"/>
        </w:numPr>
        <w:spacing w:lineRule="exact" w:line="480" w:before="0" w:after="0"/>
      </w:pPr>
      <w:r>
        <w:rPr>
          <w:bCs/>
          <w:b/>
        </w:rPr>
        <w:t xml:space="preserve">The detained being.</w:t>
      </w:r>
      <w:r>
        <w:t xml:space="preserve"> </w:t>
      </w:r>
      <w:r>
        <w:t xml:space="preserve">[Describe in unclassified, non-speculative terms what is known: e.g.,</w:t>
      </w:r>
      <w:r>
        <w:t xml:space="preserve"> </w:t>
      </w:r>
      <w:r>
        <w:t xml:space="preserve">“</w:t>
      </w:r>
      <w:r>
        <w:t xml:space="preserve">a</w:t>
      </w:r>
      <w:r>
        <w:t xml:space="preserve"> </w:t>
      </w:r>
      <w:r>
        <w:t xml:space="preserve">living being of non-human origin recovered by the United States on or about [date] near [place],</w:t>
      </w:r>
      <w:r>
        <w:t xml:space="preserve">”</w:t>
      </w:r>
      <w:r>
        <w:t xml:space="preserve"> </w:t>
      </w:r>
      <w:r>
        <w:t xml:space="preserve">and the source of that knowledge.] Petitioner alleges on information and belief that the being is</w:t>
      </w:r>
      <w:r>
        <w:t xml:space="preserve"> </w:t>
      </w:r>
      <w:r>
        <w:t xml:space="preserve">alive, is held against its will, and is capable of [reasoning / communication / expressing</w:t>
      </w:r>
      <w:r>
        <w:t xml:space="preserve"> </w:t>
      </w:r>
      <w:r>
        <w:t xml:space="preserve">preferences], as shown by [facts].</w:t>
      </w:r>
    </w:p>
    <w:p>
      <w:pPr>
        <w:numPr>
          <w:ilvl w:val="0"/>
          <w:numId w:val="1003"/>
        </w:numPr>
        <w:spacing w:lineRule="exact" w:line="480" w:before="0" w:after="0"/>
      </w:pPr>
      <w:r>
        <w:rPr>
          <w:bCs/>
          <w:b/>
        </w:rPr>
        <w:t xml:space="preserve">Next Friend.</w:t>
      </w:r>
      <w:r>
        <w:t xml:space="preserve"> </w:t>
      </w:r>
      <w:r>
        <w:t xml:space="preserve">[Name] brings this petition as next friend under 28 U.S.C. § 2242. [Describe the</w:t>
      </w:r>
      <w:r>
        <w:t xml:space="preserve"> </w:t>
      </w:r>
      <w:r>
        <w:t xml:space="preserve">next friend’s relationship to and knowledge of the detained being, and dedication to its interests.</w:t>
      </w:r>
      <w:r>
        <w:t xml:space="preserve"> </w:t>
      </w:r>
      <w:r>
        <w:t xml:space="preserve">See Part I of the Argument.]</w:t>
      </w:r>
    </w:p>
    <w:p>
      <w:pPr>
        <w:numPr>
          <w:ilvl w:val="0"/>
          <w:numId w:val="1003"/>
        </w:numPr>
        <w:spacing w:lineRule="exact" w:line="480" w:before="0" w:after="0"/>
      </w:pPr>
      <w:r>
        <w:rPr>
          <w:bCs/>
          <w:b/>
        </w:rPr>
        <w:t xml:space="preserve">Respondents.</w:t>
      </w:r>
      <w:r>
        <w:t xml:space="preserve"> </w:t>
      </w:r>
      <w:r>
        <w:t xml:space="preserve">[Identify each Respondent and the basis for alleging custody or control.]</w:t>
      </w:r>
    </w:p>
    <w:p>
      <w:pPr>
        <w:pStyle w:val="FirstParagraph"/>
        <w:keepNext/>
        <w:spacing w:lineRule="exact" w:line="480" w:before="0" w:after="0"/>
        <w:jc w:val="center"/>
      </w:pPr>
      <w:r>
        <w:rPr>
          <w:bCs/>
          <w:b/>
        </w:rPr>
        <w:t xml:space="preserve">FACTS</w:t>
      </w:r>
    </w:p>
    <w:p>
      <w:pPr>
        <w:numPr>
          <w:ilvl w:val="0"/>
          <w:numId w:val="1004"/>
        </w:numPr>
        <w:spacing w:lineRule="exact" w:line="480" w:before="0" w:after="0"/>
      </w:pPr>
      <w:r>
        <w:t xml:space="preserve">[Allege the facts of capture, custody, and treatment, with the basis for each allegation. Use only</w:t>
      </w:r>
      <w:r>
        <w:t xml:space="preserve"> </w:t>
      </w:r>
      <w:r>
        <w:t xml:space="preserve">information Petitioner and counsel may lawfully possess and disclose. If any source is a current or</w:t>
      </w:r>
      <w:r>
        <w:t xml:space="preserve"> </w:t>
      </w:r>
      <w:r>
        <w:t xml:space="preserve">former government or contractor employee, confirm that the information reached Petitioner through a</w:t>
      </w:r>
      <w:r>
        <w:t xml:space="preserve"> </w:t>
      </w:r>
      <w:r>
        <w:t xml:space="preserve">lawful channel (see Issues C1, C3). Do not attach or describe classified documents.]</w:t>
      </w:r>
    </w:p>
    <w:p>
      <w:pPr>
        <w:numPr>
          <w:ilvl w:val="0"/>
          <w:numId w:val="1004"/>
        </w:numPr>
        <w:spacing w:lineRule="exact" w:line="480" w:before="0" w:after="0"/>
      </w:pPr>
      <w:r>
        <w:t xml:space="preserve">[Allege official acknowledgments relevant to the premise: statutes, sworn testimony, and agency</w:t>
      </w:r>
      <w:r>
        <w:t xml:space="preserve"> </w:t>
      </w:r>
      <w:r>
        <w:t xml:space="preserve">releases (see</w:t>
      </w:r>
      <w:r>
        <w:t xml:space="preserve"> </w:t>
      </w:r>
      <w:hyperlink r:id="rId23">
        <w:r>
          <w:rPr>
            <w:rStyle w:val="Hyperlink"/>
          </w:rPr>
          <w:t xml:space="preserve">Form A1-2</w:t>
        </w:r>
      </w:hyperlink>
      <w:r>
        <w:t xml:space="preserve">, Background Part B).]</w:t>
      </w:r>
    </w:p>
    <w:p>
      <w:pPr>
        <w:numPr>
          <w:ilvl w:val="0"/>
          <w:numId w:val="1004"/>
        </w:numPr>
        <w:spacing w:lineRule="exact" w:line="480" w:before="0" w:after="0"/>
      </w:pPr>
      <w:r>
        <w:t xml:space="preserve">Upon information and belief, no court, tribunal, or other neutral body has reviewed the legal</w:t>
      </w:r>
      <w:r>
        <w:t xml:space="preserve"> </w:t>
      </w:r>
      <w:r>
        <w:t xml:space="preserve">basis for the detained being’s custody, and the detained being has had no access to counsel, an</w:t>
      </w:r>
      <w:r>
        <w:t xml:space="preserve"> </w:t>
      </w:r>
      <w:r>
        <w:t xml:space="preserve">interpreter, or any representative.</w:t>
      </w:r>
    </w:p>
    <w:p>
      <w:pPr>
        <w:pStyle w:val="FirstParagraph"/>
        <w:keepNext/>
        <w:spacing w:lineRule="exact" w:line="480" w:before="0" w:after="0"/>
        <w:jc w:val="center"/>
      </w:pPr>
      <w:r>
        <w:rPr>
          <w:bCs/>
          <w:b/>
        </w:rPr>
        <w:t xml:space="preserve">ARGUMENT IN SUPPORT OF THE ORDER TO SHOW CAUSE</w:t>
      </w:r>
    </w:p>
    <w:p>
      <w:pPr>
        <w:pStyle w:val="BodyText"/>
        <w:spacing w:lineRule="exact" w:line="480" w:before="0" w:after="0"/>
      </w:pPr>
      <w:r>
        <w:rPr>
          <w:bCs/>
          <w:b/>
        </w:rPr>
        <w:t xml:space="preserve">I. Petitioner is a proper next friend.</w:t>
      </w:r>
    </w:p>
    <w:p>
      <w:pPr>
        <w:numPr>
          <w:ilvl w:val="0"/>
          <w:numId w:val="1005"/>
        </w:numPr>
        <w:spacing w:lineRule="exact" w:line="480" w:before="0" w:after="0"/>
      </w:pPr>
      <w:r>
        <w:t xml:space="preserve">An application for the writ may be made</w:t>
      </w:r>
      <w:r>
        <w:t xml:space="preserve"> </w:t>
      </w:r>
      <w:r>
        <w:t xml:space="preserve">“</w:t>
      </w:r>
      <w:r>
        <w:t xml:space="preserve">by the person for whose relief it is intended or by</w:t>
      </w:r>
      <w:r>
        <w:t xml:space="preserve"> </w:t>
      </w:r>
      <w:r>
        <w:t xml:space="preserve">someone acting in his behalf.</w:t>
      </w:r>
      <w:r>
        <w:t xml:space="preserve">”</w:t>
      </w:r>
      <w:r>
        <w:t xml:space="preserve"> </w:t>
      </w:r>
      <w:r>
        <w:t xml:space="preserve">28 U.S.C. § 2242. A next friend must provide</w:t>
      </w:r>
      <w:r>
        <w:t xml:space="preserve"> </w:t>
      </w:r>
      <w:r>
        <w:t xml:space="preserve">“</w:t>
      </w:r>
      <w:r>
        <w:t xml:space="preserve">an adequate</w:t>
      </w:r>
      <w:r>
        <w:t xml:space="preserve"> </w:t>
      </w:r>
      <w:r>
        <w:t xml:space="preserve">explanation—such as inaccessibility, mental incompetence, or other disability—why the real party in</w:t>
      </w:r>
      <w:r>
        <w:t xml:space="preserve"> </w:t>
      </w:r>
      <w:r>
        <w:t xml:space="preserve">interest cannot appear on his own behalf,</w:t>
      </w:r>
      <w:r>
        <w:t xml:space="preserve">”</w:t>
      </w:r>
      <w:r>
        <w:t xml:space="preserve"> </w:t>
      </w:r>
      <w:r>
        <w:t xml:space="preserve">and must be</w:t>
      </w:r>
      <w:r>
        <w:t xml:space="preserve"> </w:t>
      </w:r>
      <w:r>
        <w:t xml:space="preserve">“</w:t>
      </w:r>
      <w:r>
        <w:t xml:space="preserve">truly dedicated to the best interests of the</w:t>
      </w:r>
      <w:r>
        <w:t xml:space="preserve"> </w:t>
      </w:r>
      <w:r>
        <w:t xml:space="preserve">person on whose behalf he seeks to litigate</w:t>
      </w:r>
      <w:r>
        <w:t xml:space="preserve">”</w:t>
      </w:r>
      <w:r>
        <w:t xml:space="preserve">; it has been suggested that a next friend have</w:t>
      </w:r>
      <w:r>
        <w:t xml:space="preserve"> </w:t>
      </w:r>
      <w:r>
        <w:t xml:space="preserve">“</w:t>
      </w:r>
      <w:r>
        <w:t xml:space="preserve">some</w:t>
      </w:r>
      <w:r>
        <w:t xml:space="preserve"> </w:t>
      </w:r>
      <w:r>
        <w:t xml:space="preserve">significant relationship</w:t>
      </w:r>
      <w:r>
        <w:t xml:space="preserve">”</w:t>
      </w:r>
      <w:r>
        <w:t xml:space="preserve"> </w:t>
      </w:r>
      <w:r>
        <w:t xml:space="preserve">with the real party in interest.</w:t>
      </w:r>
      <w:r>
        <w:t xml:space="preserve"> </w:t>
      </w:r>
      <w:r>
        <w:rPr>
          <w:iCs/>
          <w:i/>
        </w:rPr>
        <w:t xml:space="preserve">Whitmore v. Arkansas</w:t>
      </w:r>
      <w:r>
        <w:t xml:space="preserve">, 495 U.S. 149,</w:t>
      </w:r>
      <w:r>
        <w:t xml:space="preserve"> </w:t>
      </w:r>
      <w:r>
        <w:t xml:space="preserve">163-64 (1990).</w:t>
      </w:r>
    </w:p>
    <w:p>
      <w:pPr>
        <w:numPr>
          <w:ilvl w:val="0"/>
          <w:numId w:val="1005"/>
        </w:numPr>
        <w:spacing w:lineRule="exact" w:line="480" w:before="0" w:after="0"/>
      </w:pPr>
      <w:r>
        <w:t xml:space="preserve">The detained being cannot appear: it is held incommunicado in a location Petitioner cannot reach,</w:t>
      </w:r>
      <w:r>
        <w:t xml:space="preserve"> </w:t>
      </w:r>
      <w:r>
        <w:t xml:space="preserve">has no access to counsel, and [may not communicate in any human language]. Those circumstances are</w:t>
      </w:r>
      <w:r>
        <w:t xml:space="preserve"> </w:t>
      </w:r>
      <w:r>
        <w:t xml:space="preserve">the paradigm of</w:t>
      </w:r>
      <w:r>
        <w:t xml:space="preserve"> </w:t>
      </w:r>
      <w:r>
        <w:t xml:space="preserve">“</w:t>
      </w:r>
      <w:r>
        <w:t xml:space="preserve">inaccessibility.</w:t>
      </w:r>
      <w:r>
        <w:t xml:space="preserve">”</w:t>
      </w:r>
      <w:r>
        <w:t xml:space="preserve"> </w:t>
      </w:r>
      <w:r>
        <w:t xml:space="preserve">Petitioner’s relationship with the detained being is [describe:</w:t>
      </w:r>
      <w:r>
        <w:t xml:space="preserve"> </w:t>
      </w:r>
      <w:r>
        <w:t xml:space="preserve">e.g., direct contact before custody; responsibility for its care; status as the only person outside</w:t>
      </w:r>
      <w:r>
        <w:t xml:space="preserve"> </w:t>
      </w:r>
      <w:r>
        <w:t xml:space="preserve">government who has communicated with it]. Petitioner has no interest adverse to the being’s.</w:t>
      </w:r>
    </w:p>
    <w:p>
      <w:pPr>
        <w:numPr>
          <w:ilvl w:val="0"/>
          <w:numId w:val="1005"/>
        </w:numPr>
        <w:spacing w:lineRule="exact" w:line="480" w:before="0" w:after="0"/>
      </w:pPr>
      <w:r>
        <w:rPr>
          <w:iCs/>
          <w:i/>
        </w:rPr>
        <w:t xml:space="preserve">Naruto v. Slater</w:t>
      </w:r>
      <w:r>
        <w:t xml:space="preserve">, 888 F.3d 418 (9th Cir. 2018), does not control. The panel majority held that</w:t>
      </w:r>
      <w:r>
        <w:t xml:space="preserve"> </w:t>
      </w:r>
      <w:r>
        <w:t xml:space="preserve">the organization suing for a macaque had not alleged</w:t>
      </w:r>
      <w:r>
        <w:t xml:space="preserve"> </w:t>
      </w:r>
      <w:r>
        <w:t xml:space="preserve">“</w:t>
      </w:r>
      <w:r>
        <w:t xml:space="preserve">the required significant relationship</w:t>
      </w:r>
      <w:r>
        <w:t xml:space="preserve">”</w:t>
      </w:r>
      <w:r>
        <w:t xml:space="preserve"> </w:t>
      </w:r>
      <w:r>
        <w:t xml:space="preserve">with it,</w:t>
      </w:r>
      <w:r>
        <w:t xml:space="preserve"> </w:t>
      </w:r>
      <w:r>
        <w:t xml:space="preserve">and only</w:t>
      </w:r>
      <w:r>
        <w:t xml:space="preserve"> </w:t>
      </w:r>
      <w:r>
        <w:t xml:space="preserve">“</w:t>
      </w:r>
      <w:r>
        <w:t xml:space="preserve">gravely doubt[ed]</w:t>
      </w:r>
      <w:r>
        <w:t xml:space="preserve">”</w:t>
      </w:r>
      <w:r>
        <w:t xml:space="preserve"> </w:t>
      </w:r>
      <w:r>
        <w:t xml:space="preserve">that an animal could be represented by a next friend.</w:t>
      </w:r>
      <w:r>
        <w:t xml:space="preserve"> </w:t>
      </w:r>
      <w:r>
        <w:rPr>
          <w:iCs/>
          <w:i/>
        </w:rPr>
        <w:t xml:space="preserve">Id.</w:t>
      </w:r>
      <w:r>
        <w:t xml:space="preserve"> </w:t>
      </w:r>
      <w:r>
        <w:t xml:space="preserve">at 421. A</w:t>
      </w:r>
      <w:r>
        <w:t xml:space="preserve"> </w:t>
      </w:r>
      <w:r>
        <w:t xml:space="preserve">separate opinion would have held that 28 U.S.C. § 2242 allows a petition only on behalf of a natural</w:t>
      </w:r>
      <w:r>
        <w:t xml:space="preserve"> </w:t>
      </w:r>
      <w:r>
        <w:t xml:space="preserve">person, reasoning that corporations and other artificial persons</w:t>
      </w:r>
      <w:r>
        <w:t xml:space="preserve"> </w:t>
      </w:r>
      <w:r>
        <w:t xml:space="preserve">“</w:t>
      </w:r>
      <w:r>
        <w:t xml:space="preserve">cannot be imprisoned.</w:t>
      </w:r>
      <w:r>
        <w:t xml:space="preserve">”</w:t>
      </w:r>
      <w:r>
        <w:t xml:space="preserve"> </w:t>
      </w:r>
      <w:r>
        <w:rPr>
          <w:iCs/>
          <w:i/>
        </w:rPr>
        <w:t xml:space="preserve">Id.</w:t>
      </w:r>
      <w:r>
        <w:t xml:space="preserve"> </w:t>
      </w:r>
      <w:r>
        <w:t xml:space="preserve">at</w:t>
      </w:r>
      <w:r>
        <w:t xml:space="preserve"> </w:t>
      </w:r>
      <w:r>
        <w:t xml:space="preserve">430-31 (N.R. Smith, J., concurring in part). Neither opinion binds this Court, and neither addressed a</w:t>
      </w:r>
      <w:r>
        <w:t xml:space="preserve"> </w:t>
      </w:r>
      <w:r>
        <w:t xml:space="preserve">being with the capacities alleged here. The concurrence’s own reasoning supports this petition, because the</w:t>
      </w:r>
      <w:r>
        <w:t xml:space="preserve"> </w:t>
      </w:r>
      <w:r>
        <w:t xml:space="preserve">detained being is a living being that can be, and is, imprisoned. The concurrence’s concern with</w:t>
      </w:r>
      <w:r>
        <w:t xml:space="preserve"> </w:t>
      </w:r>
      <w:r>
        <w:t xml:space="preserve">“</w:t>
      </w:r>
      <w:r>
        <w:t xml:space="preserve">intruders or uninvited meddlers</w:t>
      </w:r>
      <w:r>
        <w:t xml:space="preserve">”</w:t>
      </w:r>
      <w:r>
        <w:t xml:space="preserve"> </w:t>
      </w:r>
      <w:r>
        <w:t xml:space="preserve">acting for animals,</w:t>
      </w:r>
      <w:r>
        <w:t xml:space="preserve"> </w:t>
      </w:r>
      <w:r>
        <w:rPr>
          <w:iCs/>
          <w:i/>
        </w:rPr>
        <w:t xml:space="preserve">id.</w:t>
      </w:r>
      <w:r>
        <w:t xml:space="preserve"> </w:t>
      </w:r>
      <w:r>
        <w:t xml:space="preserve">at 431 (quoting</w:t>
      </w:r>
      <w:r>
        <w:t xml:space="preserve"> </w:t>
      </w:r>
      <w:r>
        <w:rPr>
          <w:iCs/>
          <w:i/>
        </w:rPr>
        <w:t xml:space="preserve">Whitmore</w:t>
      </w:r>
      <w:r>
        <w:t xml:space="preserve">, 495 U.S. at 164), is met here by the Next Friend’s relationship with the detained being</w:t>
      </w:r>
      <w:r>
        <w:t xml:space="preserve"> </w:t>
      </w:r>
      <w:r>
        <w:t xml:space="preserve">described in paragraph 12.</w:t>
      </w:r>
    </w:p>
    <w:p>
      <w:pPr>
        <w:pStyle w:val="FirstParagraph"/>
        <w:spacing w:lineRule="exact" w:line="480" w:before="0" w:after="0"/>
      </w:pPr>
      <w:r>
        <w:rPr>
          <w:bCs/>
          <w:b/>
        </w:rPr>
        <w:t xml:space="preserve">II. The detained being may invoke the writ.</w:t>
      </w:r>
    </w:p>
    <w:p>
      <w:pPr>
        <w:numPr>
          <w:ilvl w:val="0"/>
          <w:numId w:val="1006"/>
        </w:numPr>
        <w:spacing w:lineRule="exact" w:line="480" w:before="0" w:after="0"/>
      </w:pPr>
      <w:r>
        <w:t xml:space="preserve">Section 2241(c)(1) extends the writ to</w:t>
      </w:r>
      <w:r>
        <w:t xml:space="preserve"> </w:t>
      </w:r>
      <w:r>
        <w:t xml:space="preserve">“</w:t>
      </w:r>
      <w:r>
        <w:t xml:space="preserve">a prisoner</w:t>
      </w:r>
      <w:r>
        <w:t xml:space="preserve">”</w:t>
      </w:r>
      <w:r>
        <w:t xml:space="preserve"> </w:t>
      </w:r>
      <w:r>
        <w:t xml:space="preserve">in custody under color of federal authority.</w:t>
      </w:r>
      <w:r>
        <w:t xml:space="preserve"> </w:t>
      </w:r>
      <w:r>
        <w:t xml:space="preserve">Neither § 2241 nor § 2242 limits the writ to human beings, and the Dictionary Act’s definition of</w:t>
      </w:r>
      <w:r>
        <w:t xml:space="preserve"> </w:t>
      </w:r>
      <w:r>
        <w:t xml:space="preserve">“</w:t>
      </w:r>
      <w:r>
        <w:t xml:space="preserve">person</w:t>
      </w:r>
      <w:r>
        <w:t xml:space="preserve">”</w:t>
      </w:r>
      <w:r>
        <w:t xml:space="preserve"> </w:t>
      </w:r>
      <w:r>
        <w:t xml:space="preserve">is expressly non-exhaustive. 1 U.S.C. § 1.</w:t>
      </w:r>
    </w:p>
    <w:p>
      <w:pPr>
        <w:numPr>
          <w:ilvl w:val="0"/>
          <w:numId w:val="1006"/>
        </w:numPr>
        <w:spacing w:lineRule="exact" w:line="480" w:before="0" w:after="0"/>
      </w:pPr>
      <w:r>
        <w:t xml:space="preserve">The courts that have declined to extend habeas to animals reasoned that rights are tied to the</w:t>
      </w:r>
      <w:r>
        <w:t xml:space="preserve"> </w:t>
      </w:r>
      <w:r>
        <w:t xml:space="preserve">capacity to bear duties and to be held accountable.</w:t>
      </w:r>
      <w:r>
        <w:t xml:space="preserve"> </w:t>
      </w:r>
      <w:r>
        <w:rPr>
          <w:iCs/>
          <w:i/>
        </w:rPr>
        <w:t xml:space="preserve">People ex rel. Nonhuman Rights Project, Inc. v.</w:t>
      </w:r>
      <w:r>
        <w:rPr>
          <w:iCs/>
          <w:i/>
        </w:rPr>
        <w:t xml:space="preserve"> </w:t>
      </w:r>
      <w:r>
        <w:rPr>
          <w:iCs/>
          <w:i/>
        </w:rPr>
        <w:t xml:space="preserve">Lavery</w:t>
      </w:r>
      <w:r>
        <w:t xml:space="preserve">, 124 A.D.3d 148, 152 (3d Dep’t 2014). A being capable of [reasoning, communication, and</w:t>
      </w:r>
      <w:r>
        <w:t xml:space="preserve"> </w:t>
      </w:r>
      <w:r>
        <w:t xml:space="preserve">deliberate conduct] meets that test. The question whether a non-human being is a</w:t>
      </w:r>
      <w:r>
        <w:t xml:space="preserve"> </w:t>
      </w:r>
      <w:r>
        <w:t xml:space="preserve">“</w:t>
      </w:r>
      <w:r>
        <w:t xml:space="preserve">person</w:t>
      </w:r>
      <w:r>
        <w:t xml:space="preserve">”</w:t>
      </w:r>
      <w:r>
        <w:t xml:space="preserve"> </w:t>
      </w:r>
      <w:r>
        <w:t xml:space="preserve">or</w:t>
      </w:r>
      <w:r>
        <w:t xml:space="preserve"> </w:t>
      </w:r>
      <w:r>
        <w:t xml:space="preserve">“</w:t>
      </w:r>
      <w:r>
        <w:t xml:space="preserve">prisoner</w:t>
      </w:r>
      <w:r>
        <w:t xml:space="preserve">”</w:t>
      </w:r>
      <w:r>
        <w:t xml:space="preserve"> </w:t>
      </w:r>
      <w:r>
        <w:t xml:space="preserve">for habeas purposes is one of first impression, and the Court need not answer it finally to</w:t>
      </w:r>
      <w:r>
        <w:t xml:space="preserve"> </w:t>
      </w:r>
      <w:r>
        <w:t xml:space="preserve">issue an order to show cause: the Court has jurisdiction to determine its own jurisdiction, and the</w:t>
      </w:r>
      <w:r>
        <w:t xml:space="preserve"> </w:t>
      </w:r>
      <w:r>
        <w:t xml:space="preserve">facts on which the answer depends (the being’s capacities and the conditions of custody) are in</w:t>
      </w:r>
      <w:r>
        <w:t xml:space="preserve"> </w:t>
      </w:r>
      <w:r>
        <w:t xml:space="preserve">Respondents’ exclusive possession.</w:t>
      </w:r>
    </w:p>
    <w:p>
      <w:pPr>
        <w:pStyle w:val="FirstParagraph"/>
        <w:spacing w:lineRule="exact" w:line="480" w:before="0" w:after="0"/>
      </w:pPr>
      <w:r>
        <w:rPr>
          <w:bCs/>
          <w:b/>
        </w:rPr>
        <w:t xml:space="preserve">III. Respondents must state the authority for custody.</w:t>
      </w:r>
    </w:p>
    <w:p>
      <w:pPr>
        <w:pStyle w:val="Compact"/>
        <w:numPr>
          <w:ilvl w:val="0"/>
          <w:numId w:val="1007"/>
        </w:numPr>
        <w:spacing w:lineRule="exact" w:line="480" w:before="0" w:after="0"/>
      </w:pPr>
      <w:r>
        <w:t xml:space="preserve">Petitioner is not aware of any statute, treaty, or regulation authorizing the detention of a</w:t>
      </w:r>
      <w:r>
        <w:t xml:space="preserve"> </w:t>
      </w:r>
      <w:r>
        <w:t xml:space="preserve">non-human intelligent being. If Respondents rely on a classified executive directive, the Court may</w:t>
      </w:r>
      <w:r>
        <w:t xml:space="preserve"> </w:t>
      </w:r>
      <w:r>
        <w:t xml:space="preserve">review it in camera, and a secret directive cannot authorize conduct that a statute forbids (Issue</w:t>
      </w:r>
      <w:r>
        <w:t xml:space="preserve"> </w:t>
      </w:r>
      <w:r>
        <w:t xml:space="preserve">A2). If Respondents rely on the law of armed conflict, they must identify the armed conflict and the</w:t>
      </w:r>
      <w:r>
        <w:t xml:space="preserve"> </w:t>
      </w:r>
      <w:r>
        <w:t xml:space="preserve">status they assign the being (</w:t>
      </w:r>
      <w:hyperlink r:id="rId21">
        <w:r>
          <w:rPr>
            <w:rStyle w:val="Hyperlink"/>
          </w:rPr>
          <w:t xml:space="preserve">Issue F2</w:t>
        </w:r>
      </w:hyperlink>
      <w:r>
        <w:t xml:space="preserve">).</w:t>
      </w:r>
    </w:p>
    <w:p>
      <w:pPr>
        <w:pStyle w:val="FirstParagraph"/>
        <w:spacing w:lineRule="exact" w:line="480" w:before="0" w:after="0"/>
        <w:ind w:firstLine="720"/>
      </w:pPr>
      <w:r>
        <w:rPr>
          <w:bCs/>
          <w:b/>
        </w:rPr>
        <w:t xml:space="preserve">IV. Neither the state secrets privilege nor the</w:t>
      </w:r>
      <w:r>
        <w:rPr>
          <w:bCs/>
          <w:b/>
        </w:rPr>
        <w:t xml:space="preserve"> </w:t>
      </w:r>
      <w:r>
        <w:rPr>
          <w:iCs/>
          <w:i/>
          <w:bCs/>
          <w:b/>
        </w:rPr>
        <w:t xml:space="preserve">Totten</w:t>
      </w:r>
      <w:r>
        <w:rPr>
          <w:bCs/>
          <w:b/>
        </w:rPr>
        <w:t xml:space="preserve"> </w:t>
      </w:r>
      <w:r>
        <w:rPr>
          <w:bCs/>
          <w:b/>
        </w:rPr>
        <w:t xml:space="preserve">bar forecloses an order to show cause.</w:t>
      </w:r>
    </w:p>
    <w:p>
      <w:pPr>
        <w:pStyle w:val="Compact"/>
        <w:numPr>
          <w:ilvl w:val="0"/>
          <w:numId w:val="1008"/>
        </w:numPr>
        <w:spacing w:lineRule="exact" w:line="480" w:before="0" w:after="0"/>
      </w:pPr>
      <w:r>
        <w:t xml:space="preserve">The</w:t>
      </w:r>
      <w:r>
        <w:t xml:space="preserve"> </w:t>
      </w:r>
      <w:r>
        <w:rPr>
          <w:iCs/>
          <w:i/>
        </w:rPr>
        <w:t xml:space="preserve">Totten</w:t>
      </w:r>
      <w:r>
        <w:t xml:space="preserve"> </w:t>
      </w:r>
      <w:r>
        <w:t xml:space="preserve">bar applies to suits whose subject is a secret agreement with the government. *Tenet</w:t>
      </w:r>
    </w:p>
    <w:p>
      <w:pPr>
        <w:pStyle w:val="FirstParagraph"/>
        <w:spacing w:lineRule="exact" w:line="480" w:before="0" w:after="0"/>
        <w:ind w:firstLine="720"/>
      </w:pPr>
      <w:r>
        <w:t xml:space="preserve">v. Doe</w:t>
      </w:r>
      <w:r>
        <w:rPr>
          <w:iCs/>
          <w:i/>
        </w:rPr>
        <w:t xml:space="preserve">, 544 U.S. 1, 8 (2005). This petition concerns custody and rests on no agreement with the government. The state secrets</w:t>
      </w:r>
      <w:r>
        <w:rPr>
          <w:iCs/>
          <w:i/>
        </w:rPr>
        <w:t xml:space="preserve"> </w:t>
      </w:r>
      <w:r>
        <w:rPr>
          <w:iCs/>
          <w:i/>
        </w:rPr>
        <w:t xml:space="preserve">privilege is an evidentiary rule that the government must assert formally and the Court must test, and</w:t>
      </w:r>
      <w:r>
        <w:rPr>
          <w:iCs/>
          <w:i/>
        </w:rPr>
        <w:t xml:space="preserve"> </w:t>
      </w:r>
      <w:r>
        <w:rPr>
          <w:iCs/>
          <w:i/>
        </w:rPr>
        <w:t xml:space="preserve">its ordinary consequence is exclusion of specific evidence, with dismissal reserved for exceptional cases.</w:t>
      </w:r>
      <w:r>
        <w:rPr>
          <w:iCs/>
          <w:i/>
        </w:rPr>
        <w:t xml:space="preserve"> </w:t>
      </w:r>
      <w:r>
        <w:t xml:space="preserve">United States v.</w:t>
      </w:r>
      <w:r>
        <w:t xml:space="preserve"> </w:t>
      </w:r>
      <w:r>
        <w:t xml:space="preserve">Reynolds</w:t>
      </w:r>
      <w:r>
        <w:rPr>
          <w:iCs/>
          <w:i/>
        </w:rPr>
        <w:t xml:space="preserve">, 345 U.S. 1, 7-8 (1953);</w:t>
      </w:r>
      <w:r>
        <w:rPr>
          <w:iCs/>
          <w:i/>
        </w:rPr>
        <w:t xml:space="preserve"> </w:t>
      </w:r>
      <w:r>
        <w:t xml:space="preserve">In re Sealed Case</w:t>
      </w:r>
      <w:r>
        <w:rPr>
          <w:iCs/>
          <w:i/>
        </w:rPr>
        <w:t xml:space="preserve">, 494 F.3d 139, 144-45 (D.C. Cir. 2007). The</w:t>
      </w:r>
      <w:r>
        <w:rPr>
          <w:iCs/>
          <w:i/>
        </w:rPr>
        <w:t xml:space="preserve"> </w:t>
      </w:r>
      <w:r>
        <w:rPr>
          <w:iCs/>
          <w:i/>
        </w:rPr>
        <w:t xml:space="preserve">Court can protect classified information through a protective order and in camera review (</w:t>
      </w:r>
      <w:hyperlink r:id="rId24">
        <w:r>
          <w:rPr>
            <w:rStyle w:val="Hyperlink"/>
            <w:iCs/>
            <w:i/>
          </w:rPr>
          <w:t xml:space="preserve">Form A1-1</w:t>
        </w:r>
      </w:hyperlink>
      <w:r>
        <w:rPr>
          <w:iCs/>
          <w:i/>
        </w:rPr>
        <w:t xml:space="preserve">)</w:t>
      </w:r>
      <w:r>
        <w:rPr>
          <w:iCs/>
          <w:i/>
        </w:rPr>
        <w:t xml:space="preserve"> </w:t>
      </w:r>
      <w:r>
        <w:rPr>
          <w:iCs/>
          <w:i/>
        </w:rPr>
        <w:t xml:space="preserve">while requiring the government to state the legal basis for custody, as courts did in the Guantánamo</w:t>
      </w:r>
      <w:r>
        <w:rPr>
          <w:iCs/>
          <w:i/>
        </w:rPr>
        <w:t xml:space="preserve"> </w:t>
      </w:r>
      <w:r>
        <w:rPr>
          <w:iCs/>
          <w:i/>
        </w:rPr>
        <w:t xml:space="preserve">habeas cases.</w:t>
      </w:r>
      <w:r>
        <w:rPr>
          <w:iCs/>
          <w:i/>
        </w:rPr>
        <w:t xml:space="preserve"> </w:t>
      </w:r>
      <w:r>
        <w:t xml:space="preserve">See In re Guantanamo Bay Detainee Litigation*, 577 F. Supp. 2d 143 (D.D.C. 2008).</w:t>
      </w:r>
    </w:p>
    <w:p>
      <w:pPr>
        <w:pStyle w:val="BodyText"/>
        <w:keepNext/>
        <w:spacing w:lineRule="exact" w:line="480" w:before="0" w:after="0"/>
        <w:jc w:val="center"/>
      </w:pPr>
      <w:r>
        <w:rPr>
          <w:bCs/>
          <w:b/>
        </w:rPr>
        <w:t xml:space="preserve">PRAYER FOR RELIEF</w:t>
      </w:r>
    </w:p>
    <w:p>
      <w:pPr>
        <w:pStyle w:val="BodyText"/>
        <w:spacing w:lineRule="exact" w:line="480" w:before="0" w:after="0"/>
      </w:pPr>
      <w:r>
        <w:t xml:space="preserve">Petitioner asks the Court to:</w:t>
      </w:r>
    </w:p>
    <w:p>
      <w:pPr>
        <w:pStyle w:val="BodyText"/>
        <w:spacing w:lineRule="exact" w:line="480" w:before="0" w:after="0"/>
        <w:ind w:firstLine="720"/>
      </w:pPr>
      <w:r>
        <w:t xml:space="preserve">A. Issue an order directing Respondents to show cause, within the time allowed by 28 U.S.C. § 2243,</w:t>
      </w:r>
      <w:r>
        <w:t xml:space="preserve"> </w:t>
      </w:r>
      <w:r>
        <w:t xml:space="preserve">why the writ should not be granted, and to file a return certifying the true cause of the detention;</w:t>
      </w:r>
    </w:p>
    <w:p>
      <w:pPr>
        <w:pStyle w:val="BodyText"/>
        <w:spacing w:lineRule="exact" w:line="480" w:before="0" w:after="0"/>
        <w:ind w:firstLine="720"/>
      </w:pPr>
      <w:r>
        <w:t xml:space="preserve">B. Order Respondents to preserve all records, recordings, specimens, and other evidence concerning</w:t>
      </w:r>
      <w:r>
        <w:t xml:space="preserve"> </w:t>
      </w:r>
      <w:r>
        <w:t xml:space="preserve">the detained being and its custody;</w:t>
      </w:r>
    </w:p>
    <w:p>
      <w:pPr>
        <w:pStyle w:val="BodyText"/>
        <w:spacing w:lineRule="exact" w:line="480" w:before="0" w:after="0"/>
        <w:ind w:firstLine="720"/>
      </w:pPr>
      <w:r>
        <w:t xml:space="preserve">C. Order Respondents to provide the detained being with humane conditions, necessary care, and</w:t>
      </w:r>
      <w:r>
        <w:t xml:space="preserve"> </w:t>
      </w:r>
      <w:r>
        <w:t xml:space="preserve">[interpretation / means of communication] pending further order, and to file under seal a report</w:t>
      </w:r>
      <w:r>
        <w:t xml:space="preserve"> </w:t>
      </w:r>
      <w:r>
        <w:t xml:space="preserve">on its condition;</w:t>
      </w:r>
    </w:p>
    <w:p>
      <w:pPr>
        <w:pStyle w:val="BodyText"/>
        <w:spacing w:lineRule="exact" w:line="480" w:before="0" w:after="0"/>
        <w:ind w:firstLine="720"/>
      </w:pPr>
      <w:r>
        <w:t xml:space="preserve">D. Appoint [counsel / a guardian ad litem] for the detained being, with appropriate clearances, and</w:t>
      </w:r>
      <w:r>
        <w:t xml:space="preserve"> </w:t>
      </w:r>
      <w:r>
        <w:t xml:space="preserve">enter a protective order for classified information;</w:t>
      </w:r>
    </w:p>
    <w:p>
      <w:pPr>
        <w:pStyle w:val="BodyText"/>
        <w:spacing w:lineRule="exact" w:line="480" w:before="0" w:after="0"/>
      </w:pPr>
      <w:r>
        <w:t xml:space="preserve">E. Hold an evidentiary hearing; and</w:t>
      </w:r>
    </w:p>
    <w:p>
      <w:pPr>
        <w:pStyle w:val="BodyText"/>
        <w:spacing w:lineRule="exact" w:line="480" w:before="0" w:after="0"/>
      </w:pPr>
      <w:r>
        <w:t xml:space="preserve">F. Grant the writ and such other relief as is just.</w:t>
      </w:r>
    </w:p>
    <w:p>
      <w:pPr>
        <w:pStyle w:val="BodyText"/>
        <w:spacing w:lineRule="exact" w:line="480" w:before="0" w:after="0"/>
      </w:pPr>
      <w:r>
        <w:t xml:space="preserve">Dated: [__________] Respectfully submitted,</w:t>
      </w:r>
      <w:r>
        <w:br/>
      </w:r>
      <w:r>
        <w:t xml:space="preserve">[signature block]</w:t>
      </w:r>
    </w:p>
    <w:p>
      <w:pPr>
        <w:pStyle w:val="BodyText"/>
        <w:keepNext/>
        <w:spacing w:lineRule="exact" w:line="480" w:before="0" w:after="0"/>
        <w:jc w:val="center"/>
      </w:pPr>
      <w:r>
        <w:rPr>
          <w:bCs/>
          <w:b/>
        </w:rPr>
        <w:t xml:space="preserve">VERIFICATION</w:t>
      </w:r>
    </w:p>
    <w:p>
      <w:pPr>
        <w:pStyle w:val="BodyText"/>
        <w:spacing w:lineRule="exact" w:line="480" w:before="0" w:after="0"/>
        <w:ind w:firstLine="720"/>
      </w:pPr>
      <w:r>
        <w:t xml:space="preserve">I, [Next Friend], declare under penalty of perjury under 28 U.S.C. § 1746 that I have read this</w:t>
      </w:r>
      <w:r>
        <w:t xml:space="preserve"> </w:t>
      </w:r>
      <w:r>
        <w:t xml:space="preserve">petition and that the facts stated in it are true to the best of my knowledge, information, and</w:t>
      </w:r>
      <w:r>
        <w:t xml:space="preserve"> </w:t>
      </w:r>
      <w:r>
        <w:t xml:space="preserve">belief, and that I have stated the basis for each allegation made on information and belief.</w:t>
      </w:r>
      <w:r>
        <w:t xml:space="preserve"> </w:t>
      </w:r>
      <w:r>
        <w:t xml:space="preserve">[Signature, date]</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6" w:name="drafting-notes"/>
    <w:p>
      <w:pPr>
        <w:pStyle w:val="Heading2"/>
      </w:pPr>
      <w:r>
        <w:t xml:space="preserve">Drafting notes</w:t>
      </w:r>
    </w:p>
    <w:p>
      <w:pPr>
        <w:pStyle w:val="Compact"/>
        <w:numPr>
          <w:ilvl w:val="0"/>
          <w:numId w:val="1009"/>
        </w:numPr>
      </w:pPr>
      <w:r>
        <w:rPr>
          <w:bCs/>
          <w:b/>
        </w:rPr>
        <w:t xml:space="preserve">28 U.S.C. § 2243.</w:t>
      </w:r>
      <w:r>
        <w:t xml:space="preserve"> </w:t>
      </w:r>
      <w:r>
        <w:t xml:space="preserve">The court</w:t>
      </w:r>
      <w:r>
        <w:t xml:space="preserve"> </w:t>
      </w:r>
      <w:r>
        <w:t xml:space="preserve">“</w:t>
      </w:r>
      <w:r>
        <w:t xml:space="preserve">shall forthwith award the writ or issue an order directing the</w:t>
      </w:r>
      <w:r>
        <w:t xml:space="preserve"> </w:t>
      </w:r>
      <w:r>
        <w:t xml:space="preserve">respondent to show cause,</w:t>
      </w:r>
      <w:r>
        <w:t xml:space="preserve">”</w:t>
      </w:r>
      <w:r>
        <w:t xml:space="preserve"> </w:t>
      </w:r>
      <w:r>
        <w:t xml:space="preserve">returnable within three days unless good cause allows up to twenty. Ask</w:t>
      </w:r>
      <w:r>
        <w:t xml:space="preserve"> </w:t>
      </w:r>
      <w:r>
        <w:t xml:space="preserve">for the order to show cause; the government will seek an extension and a sealed return.</w:t>
      </w:r>
    </w:p>
    <w:p>
      <w:pPr>
        <w:pStyle w:val="Compact"/>
        <w:numPr>
          <w:ilvl w:val="0"/>
          <w:numId w:val="1009"/>
        </w:numPr>
      </w:pPr>
      <w:r>
        <w:rPr>
          <w:bCs/>
          <w:b/>
        </w:rPr>
        <w:t xml:space="preserve">Rule 11.</w:t>
      </w:r>
      <w:r>
        <w:t xml:space="preserve"> </w:t>
      </w:r>
      <w:r>
        <w:t xml:space="preserve">The petition fails at once if the premise of a living detained being rests only on</w:t>
      </w:r>
      <w:r>
        <w:t xml:space="preserve"> </w:t>
      </w:r>
      <w:r>
        <w:t xml:space="preserve">rumor. Build the factual basis from witnesses with first-hand knowledge who have used lawful</w:t>
      </w:r>
      <w:r>
        <w:t xml:space="preserve"> </w:t>
      </w:r>
      <w:r>
        <w:t xml:space="preserve">channels, and from official acknowledgments.</w:t>
      </w:r>
    </w:p>
    <w:p>
      <w:pPr>
        <w:pStyle w:val="Compact"/>
        <w:numPr>
          <w:ilvl w:val="0"/>
          <w:numId w:val="1009"/>
        </w:numPr>
      </w:pPr>
      <w:r>
        <w:rPr>
          <w:bCs/>
          <w:b/>
        </w:rPr>
        <w:t xml:space="preserve">Expect a motion to dismiss</w:t>
      </w:r>
      <w:r>
        <w:t xml:space="preserve"> </w:t>
      </w:r>
      <w:r>
        <w:t xml:space="preserve">on next-friend standing, on whether the being is a</w:t>
      </w:r>
      <w:r>
        <w:t xml:space="preserve"> </w:t>
      </w:r>
      <w:r>
        <w:t xml:space="preserve">“</w:t>
      </w:r>
      <w:r>
        <w:t xml:space="preserve">prisoner,</w:t>
      </w:r>
      <w:r>
        <w:t xml:space="preserve">”</w:t>
      </w:r>
      <w:r>
        <w:t xml:space="preserve"> </w:t>
      </w:r>
      <w:r>
        <w:t xml:space="preserve">and on</w:t>
      </w:r>
      <w:r>
        <w:t xml:space="preserve"> </w:t>
      </w:r>
      <w:r>
        <w:t xml:space="preserve">state secrets. Parts I, II, and IV preview the responses. Consider filing</w:t>
      </w:r>
      <w:r>
        <w:t xml:space="preserve"> </w:t>
      </w:r>
      <w:hyperlink r:id="rId24">
        <w:r>
          <w:rPr>
            <w:rStyle w:val="Hyperlink"/>
          </w:rPr>
          <w:t xml:space="preserve">Form A1-1</w:t>
        </w:r>
      </w:hyperlink>
      <w:r>
        <w:t xml:space="preserve"> </w:t>
      </w:r>
      <w:r>
        <w:t xml:space="preserve">(protective order)</w:t>
      </w:r>
      <w:r>
        <w:t xml:space="preserve"> </w:t>
      </w:r>
      <w:r>
        <w:t xml:space="preserve">with the petition.</w:t>
      </w:r>
    </w:p>
    <w:p>
      <w:pPr>
        <w:pStyle w:val="Compact"/>
        <w:numPr>
          <w:ilvl w:val="0"/>
          <w:numId w:val="1009"/>
        </w:numPr>
      </w:pPr>
      <w:r>
        <w:rPr>
          <w:bCs/>
          <w:b/>
        </w:rPr>
        <w:t xml:space="preserve">Somerset.</w:t>
      </w:r>
      <w:r>
        <w:t xml:space="preserve"> </w:t>
      </w:r>
      <w:r>
        <w:t xml:space="preserve">Cite</w:t>
      </w:r>
      <w:r>
        <w:t xml:space="preserve"> </w:t>
      </w:r>
      <w:r>
        <w:rPr>
          <w:iCs/>
          <w:i/>
        </w:rPr>
        <w:t xml:space="preserve">Somerset v. Stewart</w:t>
      </w:r>
      <w:r>
        <w:t xml:space="preserve">, Lofft 1, 98 Eng. Rep. 499 (K.B. 1772). The case is offered only to</w:t>
      </w:r>
      <w:r>
        <w:t xml:space="preserve"> </w:t>
      </w:r>
      <w:r>
        <w:t xml:space="preserve">show the writ’s historical reach.</w:t>
      </w:r>
    </w:p>
    <w:p>
      <w:pPr>
        <w:pStyle w:val="Compact"/>
        <w:numPr>
          <w:ilvl w:val="0"/>
          <w:numId w:val="1009"/>
        </w:numPr>
      </w:pPr>
      <w:r>
        <w:rPr>
          <w:bCs/>
          <w:b/>
        </w:rPr>
        <w:t xml:space="preserve">Pin cites</w:t>
      </w:r>
      <w:r>
        <w:t xml:space="preserve">:</w:t>
      </w:r>
      <w:r>
        <w:t xml:space="preserve"> </w:t>
      </w:r>
      <w:r>
        <w:rPr>
          <w:iCs/>
          <w:i/>
        </w:rPr>
        <w:t xml:space="preserve">Boumediene</w:t>
      </w:r>
      <w:r>
        <w:t xml:space="preserve"> </w:t>
      </w:r>
      <w:r>
        <w:t xml:space="preserve">at 771;</w:t>
      </w:r>
      <w:r>
        <w:t xml:space="preserve"> </w:t>
      </w:r>
      <w:r>
        <w:rPr>
          <w:iCs/>
          <w:i/>
        </w:rPr>
        <w:t xml:space="preserve">Padilla</w:t>
      </w:r>
      <w:r>
        <w:t xml:space="preserve"> </w:t>
      </w:r>
      <w:r>
        <w:t xml:space="preserve">at 435, 450 n.18;</w:t>
      </w:r>
      <w:r>
        <w:t xml:space="preserve"> </w:t>
      </w:r>
      <w:r>
        <w:rPr>
          <w:iCs/>
          <w:i/>
        </w:rPr>
        <w:t xml:space="preserve">Whitmore</w:t>
      </w:r>
      <w:r>
        <w:t xml:space="preserve"> </w:t>
      </w:r>
      <w:r>
        <w:t xml:space="preserve">at 163-64;</w:t>
      </w:r>
      <w:r>
        <w:t xml:space="preserve"> </w:t>
      </w:r>
      <w:r>
        <w:rPr>
          <w:iCs/>
          <w:i/>
        </w:rPr>
        <w:t xml:space="preserve">Tenet</w:t>
      </w:r>
      <w:r>
        <w:t xml:space="preserve"> </w:t>
      </w:r>
      <w:r>
        <w:t xml:space="preserve">at 8;</w:t>
      </w:r>
      <w:r>
        <w:t xml:space="preserve"> </w:t>
      </w:r>
      <w:r>
        <w:rPr>
          <w:iCs/>
          <w:i/>
        </w:rPr>
        <w:t xml:space="preserve">Naruto</w:t>
      </w:r>
      <w:r>
        <w:t xml:space="preserve"> </w:t>
      </w:r>
      <w:r>
        <w:t xml:space="preserve">at</w:t>
      </w:r>
      <w:r>
        <w:t xml:space="preserve"> </w:t>
      </w:r>
      <w:r>
        <w:t xml:space="preserve">421, 430-31;</w:t>
      </w:r>
      <w:r>
        <w:t xml:space="preserve"> </w:t>
      </w:r>
      <w:r>
        <w:rPr>
          <w:iCs/>
          <w:i/>
        </w:rPr>
        <w:t xml:space="preserve">In re Sealed Case</w:t>
      </w:r>
      <w:r>
        <w:t xml:space="preserve"> </w:t>
      </w:r>
      <w:r>
        <w:t xml:space="preserve">at 144-45. Run KeyCite before filing.</w:t>
      </w:r>
    </w:p>
    <w:p>
      <w:pPr>
        <w:pStyle w:val="Compact"/>
        <w:numPr>
          <w:ilvl w:val="0"/>
          <w:numId w:val="1009"/>
        </w:numPr>
      </w:pPr>
      <w:r>
        <w:rPr>
          <w:bCs/>
          <w:b/>
        </w:rPr>
        <w:t xml:space="preserve">Animals and other non-persons.</w:t>
      </w:r>
      <w:r>
        <w:t xml:space="preserve"> </w:t>
      </w:r>
      <w:r>
        <w:t xml:space="preserve">Courts have refused standing to non-human petitioners unless Congress speaks</w:t>
      </w:r>
      <w:r>
        <w:t xml:space="preserve"> </w:t>
      </w:r>
      <w:r>
        <w:t xml:space="preserve">plainly.</w:t>
      </w:r>
      <w:r>
        <w:t xml:space="preserve"> </w:t>
      </w:r>
      <w:r>
        <w:rPr>
          <w:iCs/>
          <w:i/>
        </w:rPr>
        <w:t xml:space="preserve">Cetacean Community v. Bush</w:t>
      </w:r>
      <w:r>
        <w:t xml:space="preserve">, 386 F.3d 1169, 1175-76, 1179 (9th Cir. 2004);</w:t>
      </w:r>
      <w:r>
        <w:t xml:space="preserve"> </w:t>
      </w:r>
      <w:r>
        <w:rPr>
          <w:iCs/>
          <w:i/>
        </w:rPr>
        <w:t xml:space="preserve">Naruto</w:t>
      </w:r>
      <w:r>
        <w:t xml:space="preserve">, above. The</w:t>
      </w:r>
      <w:r>
        <w:t xml:space="preserve"> </w:t>
      </w:r>
      <w:r>
        <w:t xml:space="preserve">strongest contrary voice is Judge Fahey’s concurrence in</w:t>
      </w:r>
      <w:r>
        <w:t xml:space="preserve"> </w:t>
      </w:r>
      <w:r>
        <w:rPr>
          <w:iCs/>
          <w:i/>
        </w:rPr>
        <w:t xml:space="preserve">Matter of Nonhuman Rights Project, Inc. v. Lavery</w:t>
      </w:r>
      <w:r>
        <w:t xml:space="preserve">,</w:t>
      </w:r>
      <w:r>
        <w:t xml:space="preserve"> </w:t>
      </w:r>
      <w:r>
        <w:t xml:space="preserve">31 N.Y.3d 1054 (2018) (denial of leave to appeal), which questioned whether personhood for habeas purposes should</w:t>
      </w:r>
      <w:r>
        <w:t xml:space="preserve"> </w:t>
      </w:r>
      <w:r>
        <w:t xml:space="preserve">turn on species. Expect the government to cite</w:t>
      </w:r>
      <w:r>
        <w:t xml:space="preserve"> </w:t>
      </w:r>
      <w:r>
        <w:rPr>
          <w:iCs/>
          <w:i/>
        </w:rPr>
        <w:t xml:space="preserve">Cetacean</w:t>
      </w:r>
      <w:r>
        <w:t xml:space="preserve"> </w:t>
      </w:r>
      <w:r>
        <w:t xml:space="preserve">and answer that the petition rests on evidence of the detainee’s</w:t>
      </w:r>
      <w:r>
        <w:t xml:space="preserve"> </w:t>
      </w:r>
      <w:r>
        <w:t xml:space="preserve">capacities for communication and agreement, which the animal cases did not have before them (</w:t>
      </w:r>
      <w:hyperlink r:id="rId20">
        <w:r>
          <w:rPr>
            <w:rStyle w:val="Hyperlink"/>
          </w:rPr>
          <w:t xml:space="preserve">Issue F1</w:t>
        </w:r>
      </w:hyperlink>
      <w:r>
        <w:t xml:space="preserve"> </w:t>
      </w:r>
      <w:r>
        <w:t xml:space="preserve">§4.4).</w:t>
      </w:r>
    </w:p>
    <w:p>
      <w:pPr>
        <w:pStyle w:val="Compact"/>
        <w:numPr>
          <w:ilvl w:val="0"/>
          <w:numId w:val="1009"/>
        </w:numPr>
      </w:pPr>
      <w:r>
        <w:rPr>
          <w:bCs/>
          <w:b/>
        </w:rPr>
        <w:t xml:space="preserve">Next friends without a relationship fail.</w:t>
      </w:r>
      <w:r>
        <w:t xml:space="preserve"> </w:t>
      </w:r>
      <w:r>
        <w:rPr>
          <w:iCs/>
          <w:i/>
        </w:rPr>
        <w:t xml:space="preserve">Coalition of Clergy, Lawyers, &amp; Professors v. Bush</w:t>
      </w:r>
      <w:r>
        <w:t xml:space="preserve">, 310 F.3d</w:t>
      </w:r>
      <w:r>
        <w:t xml:space="preserve"> </w:t>
      </w:r>
      <w:r>
        <w:t xml:space="preserve">1153 (9th Cir. 2002), held that petitioners with no relationship to the Guantánamo detainees lacked standing.</w:t>
      </w:r>
      <w:r>
        <w:t xml:space="preserve"> </w:t>
      </w:r>
      <w:r>
        <w:t xml:space="preserve">Paragraph 12 must show a real relationship.</w:t>
      </w:r>
    </w:p>
    <w:p>
      <w:pPr>
        <w:pStyle w:val="Compact"/>
        <w:numPr>
          <w:ilvl w:val="0"/>
          <w:numId w:val="1009"/>
        </w:numPr>
      </w:pPr>
      <w:r>
        <w:rPr>
          <w:bCs/>
          <w:b/>
        </w:rPr>
        <w:t xml:space="preserve">Discovery.</w:t>
      </w:r>
      <w:r>
        <w:t xml:space="preserve"> </w:t>
      </w:r>
      <w:r>
        <w:t xml:space="preserve">Federal habeas discovery is available for good cause.</w:t>
      </w:r>
      <w:r>
        <w:t xml:space="preserve"> </w:t>
      </w:r>
      <w:r>
        <w:rPr>
          <w:iCs/>
          <w:i/>
        </w:rPr>
        <w:t xml:space="preserve">Harris v. Nelson</w:t>
      </w:r>
      <w:r>
        <w:t xml:space="preserve">, 394 U.S. 286 (1969);</w:t>
      </w:r>
      <w:r>
        <w:t xml:space="preserve"> </w:t>
      </w:r>
      <w:r>
        <w:t xml:space="preserve">Rule 6 of the Rules Governing Section 2254 Cases, applicable to § 2241 petitions under Rule 1(b).</w:t>
      </w:r>
    </w:p>
    <w:p>
      <w:pPr>
        <w:pStyle w:val="Compact"/>
        <w:numPr>
          <w:ilvl w:val="0"/>
          <w:numId w:val="1009"/>
        </w:numPr>
      </w:pPr>
      <w:r>
        <w:rPr>
          <w:bCs/>
          <w:b/>
        </w:rPr>
        <w:t xml:space="preserve">Release to where.</w:t>
      </w:r>
      <w:r>
        <w:t xml:space="preserve"> </w:t>
      </w:r>
      <w:r>
        <w:t xml:space="preserve">Courts can end unlawful custody but are reluctant to order release into a particular</w:t>
      </w:r>
      <w:r>
        <w:t xml:space="preserve"> </w:t>
      </w:r>
      <w:r>
        <w:t xml:space="preserve">place.</w:t>
      </w:r>
      <w:r>
        <w:t xml:space="preserve"> </w:t>
      </w:r>
      <w:r>
        <w:rPr>
          <w:iCs/>
          <w:i/>
        </w:rPr>
        <w:t xml:space="preserve">Kiyemba v. Obama</w:t>
      </w:r>
      <w:r>
        <w:t xml:space="preserve">, 605 F.3d 1046 (D.C. Cir. 2010);</w:t>
      </w:r>
      <w:r>
        <w:t xml:space="preserve"> </w:t>
      </w:r>
      <w:r>
        <w:rPr>
          <w:iCs/>
          <w:i/>
        </w:rPr>
        <w:t xml:space="preserve">Munaf v. Geren</w:t>
      </w:r>
      <w:r>
        <w:t xml:space="preserve">, 553 U.S. 674 (2008). Put a plan for</w:t>
      </w:r>
      <w:r>
        <w:t xml:space="preserve"> </w:t>
      </w:r>
      <w:r>
        <w:t xml:space="preserve">the being’s safe placement in the record, and ask for release on conditions.</w:t>
      </w:r>
    </w:p>
    <w:p>
      <w:pPr>
        <w:pStyle w:val="Compact"/>
        <w:numPr>
          <w:ilvl w:val="0"/>
          <w:numId w:val="1009"/>
        </w:numPr>
      </w:pPr>
      <w:r>
        <w:rPr>
          <w:bCs/>
          <w:b/>
        </w:rPr>
        <w:t xml:space="preserve">Contractor holding the being on its own account.</w:t>
      </w:r>
      <w:r>
        <w:t xml:space="preserve"> </w:t>
      </w:r>
      <w:r>
        <w:t xml:space="preserve">If the custodian is a private company that disclaims</w:t>
      </w:r>
      <w:r>
        <w:t xml:space="preserve"> </w:t>
      </w:r>
      <w:r>
        <w:t xml:space="preserve">acting for the United States, use</w:t>
      </w:r>
      <w:r>
        <w:t xml:space="preserve"> </w:t>
      </w:r>
      <w:hyperlink r:id="rId25">
        <w:r>
          <w:rPr>
            <w:rStyle w:val="Hyperlink"/>
          </w:rPr>
          <w:t xml:space="preserve">Form F1-2</w:t>
        </w:r>
      </w:hyperlink>
      <w:r>
        <w:t xml:space="preserve"> </w:t>
      </w:r>
      <w:r>
        <w:t xml:space="preserve">(state-court habeas), which is built so that either answer the</w:t>
      </w:r>
      <w:r>
        <w:t xml:space="preserve"> </w:t>
      </w:r>
      <w:r>
        <w:t xml:space="preserve">custodian gives keeps the case in a court.</w:t>
      </w:r>
    </w:p>
    <w:p>
      <w:pPr>
        <w:pStyle w:val="Compact"/>
        <w:numPr>
          <w:ilvl w:val="0"/>
          <w:numId w:val="1009"/>
        </w:numPr>
      </w:pPr>
      <w:r>
        <w:t xml:space="preserve">Related:</w:t>
      </w:r>
      <w:r>
        <w:t xml:space="preserve"> </w:t>
      </w:r>
      <w:hyperlink r:id="rId20">
        <w:r>
          <w:rPr>
            <w:rStyle w:val="Hyperlink"/>
          </w:rPr>
          <w:t xml:space="preserve">Issue F1</w:t>
        </w:r>
      </w:hyperlink>
      <w:r>
        <w:t xml:space="preserve">, F2, A1, A2; Forms F1-2, A1-1, A1-2, F2-1.</w:t>
      </w:r>
    </w:p>
    <w:bookmarkEnd w:id="26"/>
    <w:bookmarkEnd w:id="27"/>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PETITION FOR A WRIT OF HABEAS CORPUS (28 U.S.C. §§ 2241, 2242)</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tabs>
          <w:tab w:val="num" w:pos="1440"/>
        </w:tabs>
        <w:ind w:left="0" w:firstLine="72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5">
    <w:nsid w:val="A99205"/>
    <w:multiLevelType w:val="multilevel"/>
    <w:lvl w:ilvl="0">
      <w:start w:val="5"/>
      <w:numFmt w:val="decimal"/>
      <w:lvlText w:val="%1."/>
      <w:lvlJc w:val="left"/>
      <w:pPr>
        <w:tabs>
          <w:tab w:val="num" w:pos="1440"/>
        </w:tabs>
        <w:ind w:left="0" w:firstLine="72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208">
    <w:nsid w:val="A99208"/>
    <w:multiLevelType w:val="multilevel"/>
    <w:lvl w:ilvl="0">
      <w:start w:val="8"/>
      <w:numFmt w:val="decimal"/>
      <w:lvlText w:val="%1."/>
      <w:lvlJc w:val="left"/>
      <w:pPr>
        <w:tabs>
          <w:tab w:val="num" w:pos="1440"/>
        </w:tabs>
        <w:ind w:left="0" w:firstLine="720"/>
      </w:pPr>
    </w:lvl>
    <w:lvl w:ilvl="1">
      <w:start w:val="8"/>
      <w:numFmt w:val="lowerLetter"/>
      <w:lvlText w:val="%2."/>
      <w:lvlJc w:val="left"/>
      <w:pPr>
        <w:ind w:left="1440" w:hanging="480"/>
      </w:pPr>
    </w:lvl>
    <w:lvl w:ilvl="2">
      <w:start w:val="8"/>
      <w:numFmt w:val="lowerRoman"/>
      <w:lvlText w:val="%3."/>
      <w:lvlJc w:val="left"/>
      <w:pPr>
        <w:ind w:left="2160" w:hanging="480"/>
      </w:pPr>
    </w:lvl>
    <w:lvl w:ilvl="3">
      <w:start w:val="8"/>
      <w:numFmt w:val="decimal"/>
      <w:lvlText w:val="%4."/>
      <w:lvlJc w:val="left"/>
      <w:pPr>
        <w:ind w:left="2880" w:hanging="480"/>
      </w:pPr>
    </w:lvl>
    <w:lvl w:ilvl="4">
      <w:start w:val="8"/>
      <w:numFmt w:val="lowerLetter"/>
      <w:lvlText w:val="%5."/>
      <w:lvlJc w:val="left"/>
      <w:pPr>
        <w:ind w:left="3600" w:hanging="480"/>
      </w:pPr>
    </w:lvl>
    <w:lvl w:ilvl="5">
      <w:start w:val="8"/>
      <w:numFmt w:val="lowerRoman"/>
      <w:lvlText w:val="%6."/>
      <w:lvlJc w:val="left"/>
      <w:pPr>
        <w:ind w:left="4320" w:hanging="480"/>
      </w:pPr>
    </w:lvl>
    <w:lvl w:ilvl="6">
      <w:start w:val="8"/>
      <w:numFmt w:val="decimal"/>
      <w:lvlText w:val="%7."/>
      <w:lvlJc w:val="left"/>
      <w:pPr>
        <w:ind w:left="5040" w:hanging="480"/>
      </w:pPr>
    </w:lvl>
    <w:lvl w:ilvl="7">
      <w:start w:val="8"/>
      <w:numFmt w:val="lowerLetter"/>
      <w:lvlText w:val="%8."/>
      <w:lvlJc w:val="left"/>
      <w:pPr>
        <w:ind w:left="5760" w:hanging="480"/>
      </w:pPr>
    </w:lvl>
    <w:lvl w:ilvl="8">
      <w:start w:val="8"/>
      <w:numFmt w:val="lowerRoman"/>
      <w:lvlText w:val="%9."/>
      <w:lvlJc w:val="left"/>
      <w:pPr>
        <w:ind w:left="6480" w:hanging="480"/>
      </w:pPr>
    </w:lvl>
  </w:abstractNum>
  <w:abstractNum w:abstractNumId="992011">
    <w:nsid w:val="A992011"/>
    <w:multiLevelType w:val="multilevel"/>
    <w:lvl w:ilvl="0">
      <w:start w:val="11"/>
      <w:numFmt w:val="decimal"/>
      <w:lvlText w:val="%1."/>
      <w:lvlJc w:val="left"/>
      <w:pPr>
        <w:tabs>
          <w:tab w:val="num" w:pos="1440"/>
        </w:tabs>
        <w:ind w:left="0" w:firstLine="720"/>
      </w:pPr>
    </w:lvl>
    <w:lvl w:ilvl="1">
      <w:start w:val="11"/>
      <w:numFmt w:val="lowerLetter"/>
      <w:lvlText w:val="%2."/>
      <w:lvlJc w:val="left"/>
      <w:pPr>
        <w:ind w:left="1440" w:hanging="480"/>
      </w:pPr>
    </w:lvl>
    <w:lvl w:ilvl="2">
      <w:start w:val="11"/>
      <w:numFmt w:val="lowerRoman"/>
      <w:lvlText w:val="%3."/>
      <w:lvlJc w:val="left"/>
      <w:pPr>
        <w:ind w:left="2160" w:hanging="480"/>
      </w:pPr>
    </w:lvl>
    <w:lvl w:ilvl="3">
      <w:start w:val="11"/>
      <w:numFmt w:val="decimal"/>
      <w:lvlText w:val="%4."/>
      <w:lvlJc w:val="left"/>
      <w:pPr>
        <w:ind w:left="2880" w:hanging="480"/>
      </w:pPr>
    </w:lvl>
    <w:lvl w:ilvl="4">
      <w:start w:val="11"/>
      <w:numFmt w:val="lowerLetter"/>
      <w:lvlText w:val="%5."/>
      <w:lvlJc w:val="left"/>
      <w:pPr>
        <w:ind w:left="3600" w:hanging="480"/>
      </w:pPr>
    </w:lvl>
    <w:lvl w:ilvl="5">
      <w:start w:val="11"/>
      <w:numFmt w:val="lowerRoman"/>
      <w:lvlText w:val="%6."/>
      <w:lvlJc w:val="left"/>
      <w:pPr>
        <w:ind w:left="4320" w:hanging="480"/>
      </w:pPr>
    </w:lvl>
    <w:lvl w:ilvl="6">
      <w:start w:val="11"/>
      <w:numFmt w:val="decimal"/>
      <w:lvlText w:val="%7."/>
      <w:lvlJc w:val="left"/>
      <w:pPr>
        <w:ind w:left="5040" w:hanging="480"/>
      </w:pPr>
    </w:lvl>
    <w:lvl w:ilvl="7">
      <w:start w:val="11"/>
      <w:numFmt w:val="lowerLetter"/>
      <w:lvlText w:val="%8."/>
      <w:lvlJc w:val="left"/>
      <w:pPr>
        <w:ind w:left="5760" w:hanging="480"/>
      </w:pPr>
    </w:lvl>
    <w:lvl w:ilvl="8">
      <w:start w:val="11"/>
      <w:numFmt w:val="lowerRoman"/>
      <w:lvlText w:val="%9."/>
      <w:lvlJc w:val="left"/>
      <w:pPr>
        <w:ind w:left="6480" w:hanging="480"/>
      </w:pPr>
    </w:lvl>
  </w:abstractNum>
  <w:abstractNum w:abstractNumId="992014">
    <w:nsid w:val="A992014"/>
    <w:multiLevelType w:val="multilevel"/>
    <w:lvl w:ilvl="0">
      <w:start w:val="14"/>
      <w:numFmt w:val="decimal"/>
      <w:lvlText w:val="%1."/>
      <w:lvlJc w:val="left"/>
      <w:pPr>
        <w:tabs>
          <w:tab w:val="num" w:pos="1440"/>
        </w:tabs>
        <w:ind w:left="0" w:firstLine="720"/>
      </w:pPr>
    </w:lvl>
    <w:lvl w:ilvl="1">
      <w:start w:val="14"/>
      <w:numFmt w:val="lowerLetter"/>
      <w:lvlText w:val="%2."/>
      <w:lvlJc w:val="left"/>
      <w:pPr>
        <w:ind w:left="1440" w:hanging="480"/>
      </w:pPr>
    </w:lvl>
    <w:lvl w:ilvl="2">
      <w:start w:val="14"/>
      <w:numFmt w:val="lowerRoman"/>
      <w:lvlText w:val="%3."/>
      <w:lvlJc w:val="left"/>
      <w:pPr>
        <w:ind w:left="2160" w:hanging="480"/>
      </w:pPr>
    </w:lvl>
    <w:lvl w:ilvl="3">
      <w:start w:val="14"/>
      <w:numFmt w:val="decimal"/>
      <w:lvlText w:val="%4."/>
      <w:lvlJc w:val="left"/>
      <w:pPr>
        <w:ind w:left="2880" w:hanging="480"/>
      </w:pPr>
    </w:lvl>
    <w:lvl w:ilvl="4">
      <w:start w:val="14"/>
      <w:numFmt w:val="lowerLetter"/>
      <w:lvlText w:val="%5."/>
      <w:lvlJc w:val="left"/>
      <w:pPr>
        <w:ind w:left="3600" w:hanging="480"/>
      </w:pPr>
    </w:lvl>
    <w:lvl w:ilvl="5">
      <w:start w:val="14"/>
      <w:numFmt w:val="lowerRoman"/>
      <w:lvlText w:val="%6."/>
      <w:lvlJc w:val="left"/>
      <w:pPr>
        <w:ind w:left="4320" w:hanging="480"/>
      </w:pPr>
    </w:lvl>
    <w:lvl w:ilvl="6">
      <w:start w:val="14"/>
      <w:numFmt w:val="decimal"/>
      <w:lvlText w:val="%7."/>
      <w:lvlJc w:val="left"/>
      <w:pPr>
        <w:ind w:left="5040" w:hanging="480"/>
      </w:pPr>
    </w:lvl>
    <w:lvl w:ilvl="7">
      <w:start w:val="14"/>
      <w:numFmt w:val="lowerLetter"/>
      <w:lvlText w:val="%8."/>
      <w:lvlJc w:val="left"/>
      <w:pPr>
        <w:ind w:left="5760" w:hanging="480"/>
      </w:pPr>
    </w:lvl>
    <w:lvl w:ilvl="8">
      <w:start w:val="14"/>
      <w:numFmt w:val="lowerRoman"/>
      <w:lvlText w:val="%9."/>
      <w:lvlJc w:val="left"/>
      <w:pPr>
        <w:ind w:left="6480" w:hanging="480"/>
      </w:pPr>
    </w:lvl>
  </w:abstractNum>
  <w:abstractNum w:abstractNumId="992016">
    <w:nsid w:val="A992016"/>
    <w:multiLevelType w:val="multilevel"/>
    <w:lvl w:ilvl="0">
      <w:start w:val="16"/>
      <w:numFmt w:val="decimal"/>
      <w:lvlText w:val="%1."/>
      <w:lvlJc w:val="left"/>
      <w:pPr>
        <w:tabs>
          <w:tab w:val="num" w:pos="1440"/>
        </w:tabs>
        <w:ind w:left="0" w:firstLine="720"/>
      </w:pPr>
    </w:lvl>
    <w:lvl w:ilvl="1">
      <w:start w:val="16"/>
      <w:numFmt w:val="lowerLetter"/>
      <w:lvlText w:val="%2."/>
      <w:lvlJc w:val="left"/>
      <w:pPr>
        <w:ind w:left="1440" w:hanging="480"/>
      </w:pPr>
    </w:lvl>
    <w:lvl w:ilvl="2">
      <w:start w:val="16"/>
      <w:numFmt w:val="lowerRoman"/>
      <w:lvlText w:val="%3."/>
      <w:lvlJc w:val="left"/>
      <w:pPr>
        <w:ind w:left="2160" w:hanging="480"/>
      </w:pPr>
    </w:lvl>
    <w:lvl w:ilvl="3">
      <w:start w:val="16"/>
      <w:numFmt w:val="decimal"/>
      <w:lvlText w:val="%4."/>
      <w:lvlJc w:val="left"/>
      <w:pPr>
        <w:ind w:left="2880" w:hanging="480"/>
      </w:pPr>
    </w:lvl>
    <w:lvl w:ilvl="4">
      <w:start w:val="16"/>
      <w:numFmt w:val="lowerLetter"/>
      <w:lvlText w:val="%5."/>
      <w:lvlJc w:val="left"/>
      <w:pPr>
        <w:ind w:left="3600" w:hanging="480"/>
      </w:pPr>
    </w:lvl>
    <w:lvl w:ilvl="5">
      <w:start w:val="16"/>
      <w:numFmt w:val="lowerRoman"/>
      <w:lvlText w:val="%6."/>
      <w:lvlJc w:val="left"/>
      <w:pPr>
        <w:ind w:left="4320" w:hanging="480"/>
      </w:pPr>
    </w:lvl>
    <w:lvl w:ilvl="6">
      <w:start w:val="16"/>
      <w:numFmt w:val="decimal"/>
      <w:lvlText w:val="%7."/>
      <w:lvlJc w:val="left"/>
      <w:pPr>
        <w:ind w:left="5040" w:hanging="480"/>
      </w:pPr>
    </w:lvl>
    <w:lvl w:ilvl="7">
      <w:start w:val="16"/>
      <w:numFmt w:val="lowerLetter"/>
      <w:lvlText w:val="%8."/>
      <w:lvlJc w:val="left"/>
      <w:pPr>
        <w:ind w:left="5760" w:hanging="480"/>
      </w:pPr>
    </w:lvl>
    <w:lvl w:ilvl="8">
      <w:start w:val="16"/>
      <w:numFmt w:val="lowerRoman"/>
      <w:lvlText w:val="%9."/>
      <w:lvlJc w:val="left"/>
      <w:pPr>
        <w:ind w:left="6480" w:hanging="480"/>
      </w:pPr>
    </w:lvl>
  </w:abstractNum>
  <w:abstractNum w:abstractNumId="992017">
    <w:nsid w:val="A992017"/>
    <w:multiLevelType w:val="multilevel"/>
    <w:lvl w:ilvl="0">
      <w:start w:val="17"/>
      <w:numFmt w:val="decimal"/>
      <w:lvlText w:val="%1."/>
      <w:lvlJc w:val="left"/>
      <w:pPr>
        <w:tabs>
          <w:tab w:val="num" w:pos="1440"/>
        </w:tabs>
        <w:ind w:left="0" w:firstLine="720"/>
      </w:pPr>
    </w:lvl>
    <w:lvl w:ilvl="1">
      <w:start w:val="17"/>
      <w:numFmt w:val="lowerLetter"/>
      <w:lvlText w:val="%2."/>
      <w:lvlJc w:val="left"/>
      <w:pPr>
        <w:ind w:left="1440" w:hanging="480"/>
      </w:pPr>
    </w:lvl>
    <w:lvl w:ilvl="2">
      <w:start w:val="17"/>
      <w:numFmt w:val="lowerRoman"/>
      <w:lvlText w:val="%3."/>
      <w:lvlJc w:val="left"/>
      <w:pPr>
        <w:ind w:left="2160" w:hanging="480"/>
      </w:pPr>
    </w:lvl>
    <w:lvl w:ilvl="3">
      <w:start w:val="17"/>
      <w:numFmt w:val="decimal"/>
      <w:lvlText w:val="%4."/>
      <w:lvlJc w:val="left"/>
      <w:pPr>
        <w:ind w:left="2880" w:hanging="480"/>
      </w:pPr>
    </w:lvl>
    <w:lvl w:ilvl="4">
      <w:start w:val="17"/>
      <w:numFmt w:val="lowerLetter"/>
      <w:lvlText w:val="%5."/>
      <w:lvlJc w:val="left"/>
      <w:pPr>
        <w:ind w:left="3600" w:hanging="480"/>
      </w:pPr>
    </w:lvl>
    <w:lvl w:ilvl="5">
      <w:start w:val="17"/>
      <w:numFmt w:val="lowerRoman"/>
      <w:lvlText w:val="%6."/>
      <w:lvlJc w:val="left"/>
      <w:pPr>
        <w:ind w:left="4320" w:hanging="480"/>
      </w:pPr>
    </w:lvl>
    <w:lvl w:ilvl="6">
      <w:start w:val="17"/>
      <w:numFmt w:val="decimal"/>
      <w:lvlText w:val="%7."/>
      <w:lvlJc w:val="left"/>
      <w:pPr>
        <w:ind w:left="5040" w:hanging="480"/>
      </w:pPr>
    </w:lvl>
    <w:lvl w:ilvl="7">
      <w:start w:val="17"/>
      <w:numFmt w:val="lowerLetter"/>
      <w:lvlText w:val="%8."/>
      <w:lvlJc w:val="left"/>
      <w:pPr>
        <w:ind w:left="5760" w:hanging="480"/>
      </w:pPr>
    </w:lvl>
    <w:lvl w:ilvl="8">
      <w:start w:val="17"/>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2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5">
    <w:abstractNumId w:val="992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20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7">
    <w:abstractNumId w:val="9920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20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4" Type="http://schemas.openxmlformats.org/officeDocument/2006/relationships/hyperlink" Target="https://nhilaw.com/forms/a1-1.html" TargetMode="External"/><Relationship Id="rId23" Type="http://schemas.openxmlformats.org/officeDocument/2006/relationships/hyperlink" Target="https://nhilaw.com/forms/a1-2.html" TargetMode="External"/><Relationship Id="rId25" Type="http://schemas.openxmlformats.org/officeDocument/2006/relationships/hyperlink" Target="https://nhilaw.com/forms/f1-2.html" TargetMode="External"/><Relationship Id="rId22" Type="http://schemas.openxmlformats.org/officeDocument/2006/relationships/hyperlink" Target="https://nhilaw.com/issues/a1.html" TargetMode="External"/><Relationship Id="rId20" Type="http://schemas.openxmlformats.org/officeDocument/2006/relationships/hyperlink" Target="https://nhilaw.com/issues/f1.html" TargetMode="External"/><Relationship Id="rId21" Type="http://schemas.openxmlformats.org/officeDocument/2006/relationships/hyperlink" Target="https://nhilaw.com/issues/f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4" Type="http://schemas.openxmlformats.org/officeDocument/2006/relationships/hyperlink" Target="https://nhilaw.com/forms/a1-1.html" TargetMode="External"/><Relationship Id="rId23" Type="http://schemas.openxmlformats.org/officeDocument/2006/relationships/hyperlink" Target="https://nhilaw.com/forms/a1-2.html" TargetMode="External"/><Relationship Id="rId25" Type="http://schemas.openxmlformats.org/officeDocument/2006/relationships/hyperlink" Target="https://nhilaw.com/forms/f1-2.html" TargetMode="External"/><Relationship Id="rId22" Type="http://schemas.openxmlformats.org/officeDocument/2006/relationships/hyperlink" Target="https://nhilaw.com/issues/a1.html" TargetMode="External"/><Relationship Id="rId20" Type="http://schemas.openxmlformats.org/officeDocument/2006/relationships/hyperlink" Target="https://nhilaw.com/issues/f1.html" TargetMode="External"/><Relationship Id="rId21" Type="http://schemas.openxmlformats.org/officeDocument/2006/relationships/hyperlink" Target="https://nhilaw.com/issues/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F1-1. Next-Friend Petition for a Writ of Habeas Corpus on Behalf of a Detained Non-Human Being</dc:title>
  <dc:creator>nhilaw.com</dc:creator>
  <cp:keywords/>
  <dcterms:created xsi:type="dcterms:W3CDTF">2026-10-19T03:14:45Z</dcterms:created>
  <dcterms:modified xsi:type="dcterms:W3CDTF">2026-10-19T03:14:45Z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