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7" w:name="X3e5742f5d0ccfc00682b9be7a6da17926f45bd7"/>
    <w:p>
      <w:pPr>
        <w:pStyle w:val="Heading1"/>
      </w:pPr>
      <w:r>
        <w:t xml:space="preserve">Form F1-2. State-Court Petition for a Writ of Habeas Corpus on Behalf of a Non-Human Being Held by a Contractor</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https://nhilaw.com/forms/f1-2.html</w:t>
      </w:r>
    </w:p>
    <w:p>
      <w:pPr>
        <w:pStyle w:val="BodyText"/>
        <w:spacing w:after="160" w:line="259" w:lineRule="auto"/>
      </w:pPr>
      <w:r>
        <w:rPr>
          <w:bCs/>
          <w:b/>
        </w:rPr>
        <w:t xml:space="preserve">Use.</w:t>
      </w:r>
      <w:r>
        <w:t xml:space="preserve"> </w:t>
      </w:r>
      <w:r>
        <w:t xml:space="preserve">This petition is for the case</w:t>
      </w:r>
      <w:r>
        <w:t xml:space="preserve"> </w:t>
      </w:r>
      <w:hyperlink r:id="rId20">
        <w:r>
          <w:rPr>
            <w:rStyle w:val="Hyperlink"/>
          </w:rPr>
          <w:t xml:space="preserve">Form F1-1</w:t>
        </w:r>
      </w:hyperlink>
      <w:r>
        <w:t xml:space="preserve"> </w:t>
      </w:r>
      <w:r>
        <w:t xml:space="preserve">does not cover: a living, intelligent non-human being</w:t>
      </w:r>
      <w:r>
        <w:t xml:space="preserve"> </w:t>
      </w:r>
      <w:r>
        <w:t xml:space="preserve">held against its will by a private company, such as a defense or aerospace contractor, that claims to</w:t>
      </w:r>
      <w:r>
        <w:t xml:space="preserve"> </w:t>
      </w:r>
      <w:r>
        <w:t xml:space="preserve">hold the being on its own account rather than for the United States. State habeas statutes reach any</w:t>
      </w:r>
      <w:r>
        <w:t xml:space="preserve"> </w:t>
      </w:r>
      <w:r>
        <w:t xml:space="preserve">restraint of liberty</w:t>
      </w:r>
      <w:r>
        <w:t xml:space="preserve"> </w:t>
      </w:r>
      <w:r>
        <w:t xml:space="preserve">“</w:t>
      </w:r>
      <w:r>
        <w:t xml:space="preserve">under any pretense,</w:t>
      </w:r>
      <w:r>
        <w:t xml:space="preserve">”</w:t>
      </w:r>
      <w:r>
        <w:t xml:space="preserve"> </w:t>
      </w:r>
      <w:r>
        <w:t xml:space="preserve">including restraint by private persons, and California’s</w:t>
      </w:r>
      <w:r>
        <w:t xml:space="preserve"> </w:t>
      </w:r>
      <w:r>
        <w:t xml:space="preserve">statute lets</w:t>
      </w:r>
      <w:r>
        <w:t xml:space="preserve"> </w:t>
      </w:r>
      <w:r>
        <w:t xml:space="preserve">“</w:t>
      </w:r>
      <w:r>
        <w:t xml:space="preserve">some person in his behalf</w:t>
      </w:r>
      <w:r>
        <w:t xml:space="preserve">”</w:t>
      </w:r>
      <w:r>
        <w:t xml:space="preserve"> </w:t>
      </w:r>
      <w:r>
        <w:t xml:space="preserve">apply for the writ. The petition is built so that the</w:t>
      </w:r>
      <w:r>
        <w:t xml:space="preserve"> </w:t>
      </w:r>
      <w:r>
        <w:t xml:space="preserve">custodian’s answer moves the case forward whichever position it takes. If the custodian says it holds</w:t>
      </w:r>
      <w:r>
        <w:t xml:space="preserve"> </w:t>
      </w:r>
      <w:r>
        <w:t xml:space="preserve">the being privately, the state court decides the case. If it says it holds the being for the United</w:t>
      </w:r>
      <w:r>
        <w:t xml:space="preserve"> </w:t>
      </w:r>
      <w:r>
        <w:t xml:space="preserve">States, it concedes federal custody, and the petitioner proceeds in federal court under 28 U.S.C. §2241</w:t>
      </w:r>
      <w:r>
        <w:t xml:space="preserve"> </w:t>
      </w:r>
      <w:r>
        <w:t xml:space="preserve">(</w:t>
      </w:r>
      <w:hyperlink r:id="rId20">
        <w:r>
          <w:rPr>
            <w:rStyle w:val="Hyperlink"/>
          </w:rPr>
          <w:t xml:space="preserve">Form F1-1</w:t>
        </w:r>
      </w:hyperlink>
      <w:r>
        <w:t xml:space="preserve">). Read</w:t>
      </w:r>
      <w:r>
        <w:t xml:space="preserve"> </w:t>
      </w:r>
      <w:hyperlink r:id="rId21">
        <w:r>
          <w:rPr>
            <w:rStyle w:val="Hyperlink"/>
          </w:rPr>
          <w:t xml:space="preserve">Issue F1</w:t>
        </w:r>
      </w:hyperlink>
      <w:r>
        <w:t xml:space="preserve"> </w:t>
      </w:r>
      <w:r>
        <w:t xml:space="preserve">(legal status),</w:t>
      </w:r>
      <w:r>
        <w:t xml:space="preserve"> </w:t>
      </w:r>
      <w:hyperlink r:id="rId22">
        <w:r>
          <w:rPr>
            <w:rStyle w:val="Hyperlink"/>
          </w:rPr>
          <w:t xml:space="preserve">Issue F2</w:t>
        </w:r>
      </w:hyperlink>
      <w:r>
        <w:t xml:space="preserve"> </w:t>
      </w:r>
      <w:r>
        <w:t xml:space="preserve">(detention), and</w:t>
      </w:r>
      <w:r>
        <w:t xml:space="preserve"> </w:t>
      </w:r>
      <w:hyperlink r:id="rId23">
        <w:r>
          <w:rPr>
            <w:rStyle w:val="Hyperlink"/>
          </w:rPr>
          <w:t xml:space="preserve">Issue A1</w:t>
        </w:r>
      </w:hyperlink>
      <w:r>
        <w:t xml:space="preserve"> </w:t>
      </w:r>
      <w:r>
        <w:t xml:space="preserve">(state secrets) before</w:t>
      </w:r>
      <w:r>
        <w:t xml:space="preserve"> </w:t>
      </w:r>
      <w:r>
        <w:t xml:space="preserve">adapting it. Counsel must have a good-faith factual basis for every allegation; the facts below are</w:t>
      </w:r>
      <w:r>
        <w:t xml:space="preserve"> </w:t>
      </w:r>
      <w:r>
        <w:t xml:space="preserve">placeholders.</w:t>
      </w:r>
    </w:p>
    <w:p>
      <w:pPr>
        <w:pStyle w:val="BodyText"/>
        <w:spacing w:after="160" w:line="259" w:lineRule="auto"/>
      </w:pPr>
      <w:r>
        <w:rPr>
          <w:bCs/>
          <w:b/>
        </w:rPr>
        <w:t xml:space="preserve">When to use.</w:t>
      </w:r>
      <w:r>
        <w:t xml:space="preserve"> </w:t>
      </w:r>
      <w:r>
        <w:t xml:space="preserve">A next friend seeking release of a non-human intelligence held by a contractor or other</w:t>
      </w:r>
      <w:r>
        <w:t xml:space="preserve"> </w:t>
      </w:r>
      <w:r>
        <w:t xml:space="preserve">private custodian in a state whose habeas statute reaches private restraint.</w:t>
      </w:r>
      <w:r>
        <w:t xml:space="preserve"> </w:t>
      </w:r>
      <w:r>
        <w:rPr>
          <w:bCs/>
          <w:b/>
        </w:rPr>
        <w:t xml:space="preserve">Not for:</w:t>
      </w:r>
      <w:r>
        <w:t xml:space="preserve"> </w:t>
      </w:r>
      <w:r>
        <w:t xml:space="preserve">A being held</w:t>
      </w:r>
      <w:r>
        <w:t xml:space="preserve"> </w:t>
      </w:r>
      <w:r>
        <w:t xml:space="preserve">directly by a federal agency or the armed forces (</w:t>
      </w:r>
      <w:hyperlink r:id="rId20">
        <w:r>
          <w:rPr>
            <w:rStyle w:val="Hyperlink"/>
          </w:rPr>
          <w:t xml:space="preserve">Form F1-1</w:t>
        </w:r>
      </w:hyperlink>
      <w:r>
        <w:t xml:space="preserve">); claims for damages; animals.</w:t>
      </w:r>
    </w:p>
    <w:p>
      <w:pPr>
        <w:pStyle w:val="BodyText"/>
        <w:spacing w:after="160" w:line="259" w:lineRule="auto"/>
      </w:pPr>
      <w:r>
        <w:rPr>
          <w:bCs/>
          <w:b/>
        </w:rPr>
        <w:t xml:space="preserve">Deadlines.</w:t>
      </w:r>
      <w:r>
        <w:t xml:space="preserve"> </w:t>
      </w:r>
      <w:r>
        <w:t xml:space="preserve">None by statute. File promptly once the facts support custody, and before the being can</w:t>
      </w:r>
      <w:r>
        <w:t xml:space="preserve"> </w:t>
      </w:r>
      <w:r>
        <w:t xml:space="preserve">be moved out of the state.</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spacing w:lineRule="exact" w:line="240" w:before="0" w:after="0"/>
      </w:pPr>
      <w:r>
        <w:rPr>
          <w:rFonts w:ascii="Times New Roman" w:hAnsi="Times New Roman" w:cs="Times New Roman" w:eastAsia="Times New Roman"/>
          <w:b w:val="0"/>
          <w:sz w:val="24"/>
        </w:rPr>
        <w:t>[ATTORNEY NAME] (State Bar No. [______])</w:t>
      </w:r>
    </w:p>
    <w:p>
      <w:pPr>
        <w:spacing w:lineRule="exact" w:line="240" w:before="0" w:after="0"/>
      </w:pPr>
      <w:r>
        <w:rPr>
          <w:rFonts w:ascii="Times New Roman" w:hAnsi="Times New Roman" w:cs="Times New Roman" w:eastAsia="Times New Roman"/>
          <w:b w:val="0"/>
          <w:sz w:val="24"/>
        </w:rPr>
        <w:t>[FIRM NAME]</w:t>
      </w:r>
    </w:p>
    <w:p>
      <w:pPr>
        <w:spacing w:lineRule="exact" w:line="240" w:before="0" w:after="0"/>
      </w:pPr>
      <w:r>
        <w:rPr>
          <w:rFonts w:ascii="Times New Roman" w:hAnsi="Times New Roman" w:cs="Times New Roman" w:eastAsia="Times New Roman"/>
          <w:b w:val="0"/>
          <w:sz w:val="24"/>
        </w:rPr>
        <w:t>[Street address]</w:t>
      </w:r>
    </w:p>
    <w:p>
      <w:pPr>
        <w:spacing w:lineRule="exact" w:line="240" w:before="0" w:after="0"/>
      </w:pPr>
      <w:r>
        <w:rPr>
          <w:rFonts w:ascii="Times New Roman" w:hAnsi="Times New Roman" w:cs="Times New Roman" w:eastAsia="Times New Roman"/>
          <w:b w:val="0"/>
          <w:sz w:val="24"/>
        </w:rPr>
        <w:t>[City, State ZIP]</w:t>
      </w:r>
    </w:p>
    <w:p>
      <w:pPr>
        <w:spacing w:lineRule="exact" w:line="240" w:before="0" w:after="0"/>
      </w:pPr>
      <w:r>
        <w:rPr>
          <w:rFonts w:ascii="Times New Roman" w:hAnsi="Times New Roman" w:cs="Times New Roman" w:eastAsia="Times New Roman"/>
          <w:b w:val="0"/>
          <w:sz w:val="24"/>
        </w:rPr>
        <w:t>Telephone: [(___) ___-____]</w:t>
      </w:r>
    </w:p>
    <w:p>
      <w:pPr>
        <w:spacing w:lineRule="exact" w:line="240" w:before="0" w:after="0"/>
      </w:pPr>
      <w:r>
        <w:rPr>
          <w:rFonts w:ascii="Times New Roman" w:hAnsi="Times New Roman" w:cs="Times New Roman" w:eastAsia="Times New Roman"/>
          <w:b w:val="0"/>
          <w:sz w:val="24"/>
        </w:rPr>
        <w:t>Email: [__________]</w:t>
      </w:r>
    </w:p>
    <w:p>
      <w:pPr>
        <w:spacing w:lineRule="exact" w:line="240" w:before="0" w:after="0"/>
      </w:pPr>
    </w:p>
    <w:p>
      <w:pPr>
        <w:spacing w:lineRule="exact" w:line="240" w:before="0" w:after="0"/>
      </w:pPr>
      <w:r>
        <w:rPr>
          <w:rFonts w:ascii="Times New Roman" w:hAnsi="Times New Roman" w:cs="Times New Roman" w:eastAsia="Times New Roman"/>
          <w:b w:val="0"/>
          <w:sz w:val="24"/>
        </w:rPr>
        <w:t>Attorneys for Petitioner [NAME]</w:t>
      </w:r>
    </w:p>
    <w:p>
      <w:pPr>
        <w:spacing w:lineRule="exact" w:line="240" w:before="0" w:after="0"/>
      </w:pPr>
    </w:p>
    <w:p>
      <w:pPr>
        <w:spacing w:lineRule="exact" w:line="240" w:before="0" w:after="0"/>
      </w:pPr>
    </w:p>
    <w:p>
      <w:pPr>
        <w:spacing w:lineRule="exact" w:line="240" w:before="0" w:after="0"/>
        <w:jc w:val="center"/>
      </w:pPr>
      <w:r>
        <w:rPr>
          <w:rFonts w:ascii="Times New Roman" w:hAnsi="Times New Roman" w:cs="Times New Roman" w:eastAsia="Times New Roman"/>
          <w:b/>
          <w:sz w:val="24"/>
        </w:rPr>
        <w:t>SUPERIOR COURT OF THE STATE OF CALIFORNIA</w:t>
      </w:r>
    </w:p>
    <w:p>
      <w:pPr>
        <w:spacing w:lineRule="exact" w:line="240" w:before="0" w:after="0"/>
        <w:jc w:val="center"/>
      </w:pPr>
      <w:r>
        <w:rPr>
          <w:rFonts w:ascii="Times New Roman" w:hAnsi="Times New Roman" w:cs="Times New Roman" w:eastAsia="Times New Roman"/>
          <w:b/>
          <w:sz w:val="24"/>
        </w:rPr>
        <w:t>FOR THE COUNTY OF [COUNTY IN WHICH THE BEING IS RESTRAINED]</w:t>
      </w:r>
    </w:p>
    <w:p>
      <w:pPr>
        <w:spacing w:lineRule="exact" w:line="240" w:before="0" w:after="0"/>
      </w:pPr>
    </w:p>
    <w:tbl>
      <w:tblPr>
        <w:tblW w:type="auto" w:w="0"/>
        <w:jc w:val="left"/>
        <w:tblLayout w:type="fixed"/>
        <w:tblLook w:firstColumn="1" w:firstRow="1" w:lastColumn="0" w:lastRow="0" w:noHBand="0" w:noVBand="1" w:val="04A0"/>
      </w:tblPr>
      <w:tblGrid>
        <w:gridCol w:w="4680"/>
        <w:gridCol w:w="4680"/>
      </w:tblGrid>
      <w:tr>
        <w:tc>
          <w:tcPr>
            <w:tcW w:type="dxa" w:w="4824"/>
            <w:tcBorders>
              <w:right w:val="single" w:sz="4" w:color="000000"/>
              <w:bottom w:val="single" w:sz="4" w:color="000000"/>
            </w:tcBorders>
            <w:tcMar>
              <w:top w:w="0" w:type="dxa"/>
              <w:bottom w:w="0" w:type="dxa"/>
              <w:left w:w="0" w:type="dxa"/>
              <w:right w:w="100" w:type="dxa"/>
            </w:tcMar>
          </w:tcPr>
          <w:p>
            <w:pPr>
              <w:spacing w:lineRule="exact" w:line="240" w:before="0" w:after="0"/>
            </w:pPr>
            <w:r>
              <w:rPr>
                <w:rFonts w:ascii="Times New Roman" w:hAnsi="Times New Roman" w:cs="Times New Roman" w:eastAsia="Times New Roman"/>
                <w:b w:val="0"/>
                <w:sz w:val="24"/>
              </w:rPr>
              <w:t>In re [NAME OR DESIGNATION OF</w:t>
            </w:r>
          </w:p>
          <w:p>
            <w:pPr>
              <w:spacing w:lineRule="exact" w:line="240" w:before="0" w:after="0"/>
            </w:pPr>
            <w:r>
              <w:rPr>
                <w:rFonts w:ascii="Times New Roman" w:hAnsi="Times New Roman" w:cs="Times New Roman" w:eastAsia="Times New Roman"/>
                <w:b w:val="0"/>
                <w:sz w:val="24"/>
              </w:rPr>
              <w:t>THE BEING, if known; otherwise</w:t>
            </w:r>
          </w:p>
          <w:p>
            <w:pPr>
              <w:spacing w:lineRule="exact" w:line="240" w:before="0" w:after="0"/>
            </w:pPr>
            <w:r>
              <w:rPr>
                <w:rFonts w:ascii="Times New Roman" w:hAnsi="Times New Roman" w:cs="Times New Roman" w:eastAsia="Times New Roman"/>
                <w:b w:val="0"/>
                <w:sz w:val="24"/>
              </w:rPr>
              <w:t>"AN UNNAMED NON-HUMAN BEING"],</w:t>
            </w:r>
          </w:p>
          <w:p>
            <w:pPr>
              <w:spacing w:lineRule="exact" w:line="240" w:before="0" w:after="0"/>
            </w:pPr>
            <w:r>
              <w:rPr>
                <w:rFonts w:ascii="Times New Roman" w:hAnsi="Times New Roman" w:cs="Times New Roman" w:eastAsia="Times New Roman"/>
                <w:b w:val="0"/>
                <w:sz w:val="24"/>
              </w:rPr>
              <w:t>on Habeas Corpus.</w:t>
            </w:r>
          </w:p>
          <w:p>
            <w:pPr>
              <w:spacing w:lineRule="exact" w:line="240" w:before="0" w:after="0"/>
            </w:pPr>
          </w:p>
          <w:p>
            <w:pPr>
              <w:spacing w:lineRule="exact" w:line="240" w:before="0" w:after="0"/>
            </w:pPr>
            <w:r>
              <w:rPr>
                <w:rFonts w:ascii="Times New Roman" w:hAnsi="Times New Roman" w:cs="Times New Roman" w:eastAsia="Times New Roman"/>
                <w:b w:val="0"/>
                <w:sz w:val="24"/>
              </w:rPr>
              <w:t>[NEXT FRIEND], on behalf of</w:t>
            </w:r>
          </w:p>
          <w:p>
            <w:pPr>
              <w:spacing w:lineRule="exact" w:line="240" w:before="0" w:after="0"/>
            </w:pPr>
            <w:r>
              <w:rPr>
                <w:rFonts w:ascii="Times New Roman" w:hAnsi="Times New Roman" w:cs="Times New Roman" w:eastAsia="Times New Roman"/>
                <w:b w:val="0"/>
                <w:sz w:val="24"/>
              </w:rPr>
              <w:t>[the being],</w:t>
            </w:r>
          </w:p>
          <w:p>
            <w:pPr>
              <w:spacing w:lineRule="exact" w:line="240" w:before="0" w:after="0"/>
              <w:ind w:left="2160"/>
            </w:pPr>
            <w:r>
              <w:rPr>
                <w:rFonts w:ascii="Times New Roman" w:hAnsi="Times New Roman" w:cs="Times New Roman" w:eastAsia="Times New Roman"/>
                <w:b w:val="0"/>
                <w:sz w:val="24"/>
              </w:rPr>
              <w:t>Petitioner,</w:t>
            </w:r>
          </w:p>
          <w:p>
            <w:pPr>
              <w:spacing w:lineRule="exact" w:line="240" w:before="0" w:after="0"/>
            </w:pPr>
          </w:p>
          <w:p>
            <w:pPr>
              <w:spacing w:lineRule="exact" w:line="240" w:before="0" w:after="0"/>
            </w:pPr>
            <w:r>
              <w:rPr>
                <w:rFonts w:ascii="Times New Roman" w:hAnsi="Times New Roman" w:cs="Times New Roman" w:eastAsia="Times New Roman"/>
                <w:b w:val="0"/>
                <w:sz w:val="24"/>
              </w:rPr>
              <w:t>v.</w:t>
            </w:r>
          </w:p>
          <w:p>
            <w:pPr>
              <w:spacing w:lineRule="exact" w:line="240" w:before="0" w:after="0"/>
            </w:pPr>
          </w:p>
          <w:p>
            <w:pPr>
              <w:spacing w:lineRule="exact" w:line="240" w:before="0" w:after="0"/>
            </w:pPr>
            <w:r>
              <w:rPr>
                <w:rFonts w:ascii="Times New Roman" w:hAnsi="Times New Roman" w:cs="Times New Roman" w:eastAsia="Times New Roman"/>
                <w:b w:val="0"/>
                <w:sz w:val="24"/>
              </w:rPr>
              <w:t>[CONTRACTOR], a [state]</w:t>
            </w:r>
          </w:p>
          <w:p>
            <w:pPr>
              <w:spacing w:lineRule="exact" w:line="240" w:before="0" w:after="0"/>
            </w:pPr>
            <w:r>
              <w:rPr>
                <w:rFonts w:ascii="Times New Roman" w:hAnsi="Times New Roman" w:cs="Times New Roman" w:eastAsia="Times New Roman"/>
                <w:b w:val="0"/>
                <w:sz w:val="24"/>
              </w:rPr>
              <w:t>corporation; [OFFICER OR</w:t>
            </w:r>
          </w:p>
          <w:p>
            <w:pPr>
              <w:spacing w:lineRule="exact" w:line="240" w:before="0" w:after="0"/>
            </w:pPr>
            <w:r>
              <w:rPr>
                <w:rFonts w:ascii="Times New Roman" w:hAnsi="Times New Roman" w:cs="Times New Roman" w:eastAsia="Times New Roman"/>
                <w:b w:val="0"/>
                <w:sz w:val="24"/>
              </w:rPr>
              <w:t>EMPLOYEE WITH IMMEDIATE</w:t>
            </w:r>
          </w:p>
          <w:p>
            <w:pPr>
              <w:spacing w:lineRule="exact" w:line="240" w:before="0" w:after="0"/>
            </w:pPr>
            <w:r>
              <w:rPr>
                <w:rFonts w:ascii="Times New Roman" w:hAnsi="Times New Roman" w:cs="Times New Roman" w:eastAsia="Times New Roman"/>
                <w:b w:val="0"/>
                <w:sz w:val="24"/>
              </w:rPr>
              <w:t>CUSTODY, if known]; and [DOES</w:t>
            </w:r>
          </w:p>
          <w:p>
            <w:pPr>
              <w:spacing w:lineRule="exact" w:line="240" w:before="0" w:after="0"/>
            </w:pPr>
            <w:r>
              <w:rPr>
                <w:rFonts w:ascii="Times New Roman" w:hAnsi="Times New Roman" w:cs="Times New Roman" w:eastAsia="Times New Roman"/>
                <w:b w:val="0"/>
                <w:sz w:val="24"/>
              </w:rPr>
              <w:t>1-10, persons whose names are</w:t>
            </w:r>
          </w:p>
          <w:p>
            <w:pPr>
              <w:spacing w:lineRule="exact" w:line="240" w:before="0" w:after="0"/>
            </w:pPr>
            <w:r>
              <w:rPr>
                <w:rFonts w:ascii="Times New Roman" w:hAnsi="Times New Roman" w:cs="Times New Roman" w:eastAsia="Times New Roman"/>
                <w:b w:val="0"/>
                <w:sz w:val="24"/>
              </w:rPr>
              <w:t>unknown who confine or restrain</w:t>
            </w:r>
          </w:p>
          <w:p>
            <w:pPr>
              <w:spacing w:lineRule="exact" w:line="240" w:before="0" w:after="0"/>
            </w:pPr>
            <w:r>
              <w:rPr>
                <w:rFonts w:ascii="Times New Roman" w:hAnsi="Times New Roman" w:cs="Times New Roman" w:eastAsia="Times New Roman"/>
                <w:b w:val="0"/>
                <w:sz w:val="24"/>
              </w:rPr>
              <w:t>the being, described in</w:t>
            </w:r>
          </w:p>
          <w:p>
            <w:pPr>
              <w:spacing w:lineRule="exact" w:line="240" w:before="0" w:after="0"/>
            </w:pPr>
            <w:r>
              <w:rPr>
                <w:rFonts w:ascii="Times New Roman" w:hAnsi="Times New Roman" w:cs="Times New Roman" w:eastAsia="Times New Roman"/>
                <w:b w:val="0"/>
                <w:sz w:val="24"/>
              </w:rPr>
              <w:t>paragraph 7],</w:t>
            </w:r>
          </w:p>
          <w:p>
            <w:pPr>
              <w:spacing w:lineRule="exact" w:line="240" w:before="0" w:after="0"/>
              <w:ind w:left="2160"/>
            </w:pPr>
            <w:r>
              <w:rPr>
                <w:rFonts w:ascii="Times New Roman" w:hAnsi="Times New Roman" w:cs="Times New Roman" w:eastAsia="Times New Roman"/>
                <w:b w:val="0"/>
                <w:sz w:val="24"/>
              </w:rPr>
              <w:t>Respondents.</w:t>
            </w:r>
          </w:p>
          <w:p>
            <w:pPr>
              <w:spacing w:lineRule="exact" w:line="240" w:before="0" w:after="0"/>
            </w:pPr>
          </w:p>
        </w:tc>
        <w:tc>
          <w:tcPr>
            <w:tcW w:type="dxa" w:w="4392"/>
            <w:tcMar>
              <w:top w:w="0" w:type="dxa"/>
              <w:bottom w:w="0" w:type="dxa"/>
              <w:left w:w="160" w:type="dxa"/>
              <w:right w:w="100" w:type="dxa"/>
            </w:tcMar>
          </w:tcPr>
          <w:p>
            <w:pPr>
              <w:spacing w:lineRule="exact" w:line="240" w:before="0" w:after="0"/>
            </w:pPr>
            <w:r>
              <w:rPr>
                <w:rFonts w:ascii="Times New Roman" w:hAnsi="Times New Roman" w:cs="Times New Roman" w:eastAsia="Times New Roman"/>
                <w:b w:val="0"/>
                <w:sz w:val="24"/>
              </w:rPr>
              <w:t>Case No. [__________]</w:t>
            </w:r>
          </w:p>
          <w:p>
            <w:pPr>
              <w:spacing w:lineRule="exact" w:line="240" w:before="0" w:after="0"/>
            </w:pPr>
          </w:p>
          <w:p>
            <w:pPr>
              <w:spacing w:lineRule="exact" w:line="240" w:before="0" w:after="0"/>
            </w:pPr>
            <w:r>
              <w:rPr>
                <w:rFonts w:ascii="Times New Roman" w:hAnsi="Times New Roman" w:cs="Times New Roman" w:eastAsia="Times New Roman"/>
                <w:b/>
                <w:sz w:val="24"/>
              </w:rPr>
              <w:t>VERIFIED PETITION FOR</w:t>
            </w:r>
          </w:p>
          <w:p>
            <w:pPr>
              <w:spacing w:lineRule="exact" w:line="240" w:before="0" w:after="0"/>
            </w:pPr>
            <w:r>
              <w:rPr>
                <w:rFonts w:ascii="Times New Roman" w:hAnsi="Times New Roman" w:cs="Times New Roman" w:eastAsia="Times New Roman"/>
                <w:b/>
                <w:sz w:val="24"/>
              </w:rPr>
              <w:t>WRIT OF HABEAS CORPUS</w:t>
            </w:r>
          </w:p>
          <w:p>
            <w:pPr>
              <w:spacing w:lineRule="exact" w:line="240" w:before="0" w:after="0"/>
            </w:pPr>
            <w:r>
              <w:rPr>
                <w:rFonts w:ascii="Times New Roman" w:hAnsi="Times New Roman" w:cs="Times New Roman" w:eastAsia="Times New Roman"/>
                <w:b/>
                <w:sz w:val="24"/>
              </w:rPr>
              <w:t>(Penal Code §§ 1473,</w:t>
            </w:r>
          </w:p>
          <w:p>
            <w:pPr>
              <w:spacing w:lineRule="exact" w:line="240" w:before="0" w:after="0"/>
            </w:pPr>
            <w:r>
              <w:rPr>
                <w:rFonts w:ascii="Times New Roman" w:hAnsi="Times New Roman" w:cs="Times New Roman" w:eastAsia="Times New Roman"/>
                <w:b/>
                <w:sz w:val="24"/>
              </w:rPr>
              <w:t>1474)</w:t>
            </w: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p>
            <w:pPr>
              <w:spacing w:lineRule="exact" w:line="240" w:before="0" w:after="0"/>
            </w:pPr>
          </w:p>
        </w:tc>
      </w:tr>
    </w:tbl>
    <w:p>
      <w:pPr>
        <w:spacing w:lineRule="exact" w:line="240" w:before="0" w:after="0"/>
      </w:pPr>
    </w:p>
    <w:p>
      <w:pPr>
        <w:spacing w:lineRule="exact" w:line="240" w:before="0" w:after="0"/>
      </w:pPr>
    </w:p>
    <w:p>
      <w:pPr>
        <w:pStyle w:val="BodyText"/>
        <w:keepNext/>
        <w:spacing w:lineRule="exact" w:line="480" w:before="0" w:after="0"/>
        <w:jc w:val="center"/>
      </w:pPr>
      <w:r>
        <w:rPr>
          <w:bCs/>
          <w:b/>
        </w:rPr>
        <w:t xml:space="preserve">INTRODUCTION</w:t>
      </w:r>
    </w:p>
    <w:p>
      <w:pPr>
        <w:numPr>
          <w:ilvl w:val="0"/>
          <w:numId w:val="1001"/>
        </w:numPr>
        <w:spacing w:lineRule="exact" w:line="480" w:before="0" w:after="0"/>
      </w:pPr>
      <w:r>
        <w:t xml:space="preserve">Petitioner asks the Court to require Respondents to bring forward the being they hold and state by</w:t>
      </w:r>
      <w:r>
        <w:t xml:space="preserve"> </w:t>
      </w:r>
      <w:r>
        <w:t xml:space="preserve">what right they hold it. The petition leaves for another day the full range of rights such a being may have. It</w:t>
      </w:r>
      <w:r>
        <w:t xml:space="preserve"> </w:t>
      </w:r>
      <w:r>
        <w:t xml:space="preserve">asks for an order to show cause, a return stating the authority and cause of the restraint, a</w:t>
      </w:r>
      <w:r>
        <w:t xml:space="preserve"> </w:t>
      </w:r>
      <w:r>
        <w:t xml:space="preserve">hearing, and release from any restraint that has no lawful basis.</w:t>
      </w:r>
    </w:p>
    <w:p>
      <w:pPr>
        <w:numPr>
          <w:ilvl w:val="0"/>
          <w:numId w:val="1001"/>
        </w:numPr>
        <w:spacing w:lineRule="exact" w:line="480" w:before="0" w:after="0"/>
      </w:pPr>
      <w:r>
        <w:t xml:space="preserve">California’s habeas statute is not limited to prisoners of the state.</w:t>
      </w:r>
      <w:r>
        <w:t xml:space="preserve"> </w:t>
      </w:r>
      <w:r>
        <w:t xml:space="preserve">“</w:t>
      </w:r>
      <w:r>
        <w:t xml:space="preserve">A person unlawfully imprisoned</w:t>
      </w:r>
      <w:r>
        <w:t xml:space="preserve"> </w:t>
      </w:r>
      <w:r>
        <w:t xml:space="preserve">or restrained of their liberty, under any pretense, may prosecute a writ of habeas corpus to inquire</w:t>
      </w:r>
      <w:r>
        <w:t xml:space="preserve"> </w:t>
      </w:r>
      <w:r>
        <w:t xml:space="preserve">into the cause of the imprisonment or restraint.</w:t>
      </w:r>
      <w:r>
        <w:t xml:space="preserve">”</w:t>
      </w:r>
      <w:r>
        <w:t xml:space="preserve"> </w:t>
      </w:r>
      <w:r>
        <w:t xml:space="preserve">Pen. Code § 1473, subd. (a). The petition must name</w:t>
      </w:r>
      <w:r>
        <w:t xml:space="preserve"> </w:t>
      </w:r>
      <w:r>
        <w:t xml:space="preserve">“</w:t>
      </w:r>
      <w:r>
        <w:t xml:space="preserve">the officer or person by whom he is so confined or restrained,</w:t>
      </w:r>
      <w:r>
        <w:t xml:space="preserve">”</w:t>
      </w:r>
      <w:r>
        <w:t xml:space="preserve"> </w:t>
      </w:r>
      <w:r>
        <w:t xml:space="preserve">and may describe the parties</w:t>
      </w:r>
      <w:r>
        <w:t xml:space="preserve"> </w:t>
      </w:r>
      <w:r>
        <w:t xml:space="preserve">“</w:t>
      </w:r>
      <w:r>
        <w:t xml:space="preserve">if they</w:t>
      </w:r>
      <w:r>
        <w:t xml:space="preserve"> </w:t>
      </w:r>
      <w:r>
        <w:t xml:space="preserve">are not known.</w:t>
      </w:r>
      <w:r>
        <w:t xml:space="preserve">”</w:t>
      </w:r>
      <w:r>
        <w:t xml:space="preserve"> </w:t>
      </w:r>
      <w:r>
        <w:t xml:space="preserve">Pen. Code § 1474. The statute thus contemplates restraint by private persons and</w:t>
      </w:r>
      <w:r>
        <w:t xml:space="preserve"> </w:t>
      </w:r>
      <w:r>
        <w:t xml:space="preserve">custodians whose names are unknown, which is the situation here.</w:t>
      </w:r>
    </w:p>
    <w:p>
      <w:pPr>
        <w:pStyle w:val="FirstParagraph"/>
        <w:keepNext/>
        <w:spacing w:lineRule="exact" w:line="480" w:before="0" w:after="0"/>
        <w:jc w:val="center"/>
      </w:pPr>
      <w:r>
        <w:rPr>
          <w:bCs/>
          <w:b/>
        </w:rPr>
        <w:t xml:space="preserve">JURISDICTION AND VENUE</w:t>
      </w:r>
    </w:p>
    <w:p>
      <w:pPr>
        <w:numPr>
          <w:ilvl w:val="0"/>
          <w:numId w:val="1002"/>
        </w:numPr>
        <w:spacing w:lineRule="exact" w:line="480" w:before="0" w:after="0"/>
      </w:pPr>
      <w:r>
        <w:t xml:space="preserve">The Court has jurisdiction under Penal Code sections 1473 and 1474 and article I, section 11 of the</w:t>
      </w:r>
      <w:r>
        <w:t xml:space="preserve"> </w:t>
      </w:r>
      <w:r>
        <w:t xml:space="preserve">California Constitution. [Confirm the constitutional provision and the venue rules before filing.]</w:t>
      </w:r>
    </w:p>
    <w:p>
      <w:pPr>
        <w:numPr>
          <w:ilvl w:val="0"/>
          <w:numId w:val="1002"/>
        </w:numPr>
        <w:spacing w:lineRule="exact" w:line="480" w:before="0" w:after="0"/>
      </w:pPr>
      <w:r>
        <w:t xml:space="preserve">Venue lies in this County because the being is restrained at [facility, address] within the County.</w:t>
      </w:r>
      <w:r>
        <w:t xml:space="preserve"> </w:t>
      </w:r>
      <w:r>
        <w:t xml:space="preserve">[State the basis for that allegation.]</w:t>
      </w:r>
    </w:p>
    <w:p>
      <w:pPr>
        <w:pStyle w:val="FirstParagraph"/>
        <w:keepNext/>
        <w:spacing w:lineRule="exact" w:line="480" w:before="0" w:after="0"/>
        <w:jc w:val="center"/>
      </w:pPr>
      <w:r>
        <w:rPr>
          <w:bCs/>
          <w:b/>
        </w:rPr>
        <w:t xml:space="preserve">PARTIES</w:t>
      </w:r>
    </w:p>
    <w:p>
      <w:pPr>
        <w:numPr>
          <w:ilvl w:val="0"/>
          <w:numId w:val="1003"/>
        </w:numPr>
        <w:spacing w:lineRule="exact" w:line="480" w:before="0" w:after="0"/>
      </w:pPr>
      <w:r>
        <w:rPr>
          <w:bCs/>
          <w:b/>
        </w:rPr>
        <w:t xml:space="preserve">The being.</w:t>
      </w:r>
      <w:r>
        <w:t xml:space="preserve"> </w:t>
      </w:r>
      <w:r>
        <w:t xml:space="preserve">[Describe in unclassified, non-speculative terms what is known: e.g.,</w:t>
      </w:r>
      <w:r>
        <w:t xml:space="preserve"> </w:t>
      </w:r>
      <w:r>
        <w:t xml:space="preserve">“</w:t>
      </w:r>
      <w:r>
        <w:t xml:space="preserve">a living being of</w:t>
      </w:r>
      <w:r>
        <w:t xml:space="preserve"> </w:t>
      </w:r>
      <w:r>
        <w:t xml:space="preserve">non-human origin brought to Respondent’s facility at [place] on or about [date],</w:t>
      </w:r>
      <w:r>
        <w:t xml:space="preserve">”</w:t>
      </w:r>
      <w:r>
        <w:t xml:space="preserve"> </w:t>
      </w:r>
      <w:r>
        <w:t xml:space="preserve">and the source of that</w:t>
      </w:r>
      <w:r>
        <w:t xml:space="preserve"> </w:t>
      </w:r>
      <w:r>
        <w:t xml:space="preserve">knowledge.] On information and belief, the being is alive, is confined against its will, and is capable</w:t>
      </w:r>
      <w:r>
        <w:t xml:space="preserve"> </w:t>
      </w:r>
      <w:r>
        <w:t xml:space="preserve">of [reasoning / communication / expressing preferences / making and keeping agreements], as shown by</w:t>
      </w:r>
      <w:r>
        <w:t xml:space="preserve"> </w:t>
      </w:r>
      <w:r>
        <w:t xml:space="preserve">[facts]. [State the facts showing that the being does not consent to its confinement, for example</w:t>
      </w:r>
      <w:r>
        <w:t xml:space="preserve"> </w:t>
      </w:r>
      <w:r>
        <w:t xml:space="preserve">attempts to leave, expressions of distress or refusal, or statements conveyed through communication.]</w:t>
      </w:r>
    </w:p>
    <w:p>
      <w:pPr>
        <w:numPr>
          <w:ilvl w:val="0"/>
          <w:numId w:val="1003"/>
        </w:numPr>
        <w:spacing w:lineRule="exact" w:line="480" w:before="0" w:after="0"/>
      </w:pPr>
      <w:r>
        <w:rPr>
          <w:bCs/>
          <w:b/>
        </w:rPr>
        <w:t xml:space="preserve">Petitioner.</w:t>
      </w:r>
      <w:r>
        <w:t xml:space="preserve"> </w:t>
      </w:r>
      <w:r>
        <w:t xml:space="preserve">[Name] applies</w:t>
      </w:r>
      <w:r>
        <w:t xml:space="preserve"> </w:t>
      </w:r>
      <w:r>
        <w:t xml:space="preserve">“</w:t>
      </w:r>
      <w:r>
        <w:t xml:space="preserve">in his behalf</w:t>
      </w:r>
      <w:r>
        <w:t xml:space="preserve">”</w:t>
      </w:r>
      <w:r>
        <w:t xml:space="preserve"> </w:t>
      </w:r>
      <w:r>
        <w:t xml:space="preserve">under Penal Code section 1474. [Describe the</w:t>
      </w:r>
      <w:r>
        <w:t xml:space="preserve"> </w:t>
      </w:r>
      <w:r>
        <w:t xml:space="preserve">petitioner’s relationship to and knowledge of the being, and dedication to its interests. See Part II.]</w:t>
      </w:r>
    </w:p>
    <w:p>
      <w:pPr>
        <w:numPr>
          <w:ilvl w:val="0"/>
          <w:numId w:val="1003"/>
        </w:numPr>
        <w:spacing w:lineRule="exact" w:line="480" w:before="0" w:after="0"/>
      </w:pPr>
      <w:r>
        <w:rPr>
          <w:bCs/>
          <w:b/>
        </w:rPr>
        <w:t xml:space="preserve">Respondents.</w:t>
      </w:r>
      <w:r>
        <w:t xml:space="preserve"> </w:t>
      </w:r>
      <w:r>
        <w:t xml:space="preserve">[CONTRACTOR] owns or operates the facility where the being is held. [OFFICER OR</w:t>
      </w:r>
      <w:r>
        <w:t xml:space="preserve"> </w:t>
      </w:r>
      <w:r>
        <w:t xml:space="preserve">EMPLOYEE] has immediate custody. DOES 1-10 are persons whose names Petitioner does not know who confine</w:t>
      </w:r>
      <w:r>
        <w:t xml:space="preserve"> </w:t>
      </w:r>
      <w:r>
        <w:t xml:space="preserve">or restrain the being, including [describe by role: e.g., the facility security manager and the program</w:t>
      </w:r>
      <w:r>
        <w:t xml:space="preserve"> </w:t>
      </w:r>
      <w:r>
        <w:t xml:space="preserve">manager responsible for the being]. Petitioner will amend to name them when they are known.</w:t>
      </w:r>
    </w:p>
    <w:p>
      <w:pPr>
        <w:pStyle w:val="FirstParagraph"/>
        <w:keepNext/>
        <w:spacing w:lineRule="exact" w:line="480" w:before="0" w:after="0"/>
        <w:jc w:val="center"/>
      </w:pPr>
      <w:r>
        <w:rPr>
          <w:bCs/>
          <w:b/>
        </w:rPr>
        <w:t xml:space="preserve">FACTS</w:t>
      </w:r>
    </w:p>
    <w:p>
      <w:pPr>
        <w:numPr>
          <w:ilvl w:val="0"/>
          <w:numId w:val="1004"/>
        </w:numPr>
        <w:spacing w:lineRule="exact" w:line="480" w:before="0" w:after="0"/>
      </w:pPr>
      <w:r>
        <w:t xml:space="preserve">[Allege the facts of the being’s arrival at the facility, its confinement, and its treatment, with the</w:t>
      </w:r>
      <w:r>
        <w:t xml:space="preserve"> </w:t>
      </w:r>
      <w:r>
        <w:t xml:space="preserve">basis for each allegation. Use only information Petitioner and counsel may lawfully possess and</w:t>
      </w:r>
      <w:r>
        <w:t xml:space="preserve"> </w:t>
      </w:r>
      <w:r>
        <w:t xml:space="preserve">disclose. If any source is a current or former contractor or government employee, confirm that the</w:t>
      </w:r>
      <w:r>
        <w:t xml:space="preserve"> </w:t>
      </w:r>
      <w:r>
        <w:t xml:space="preserve">information reached Petitioner through a lawful channel (see Issues C1, C3). Do not attach or describe</w:t>
      </w:r>
      <w:r>
        <w:t xml:space="preserve"> </w:t>
      </w:r>
      <w:r>
        <w:t xml:space="preserve">classified documents.]</w:t>
      </w:r>
    </w:p>
    <w:p>
      <w:pPr>
        <w:numPr>
          <w:ilvl w:val="0"/>
          <w:numId w:val="1004"/>
        </w:numPr>
        <w:spacing w:lineRule="exact" w:line="480" w:before="0" w:after="0"/>
      </w:pPr>
      <w:r>
        <w:t xml:space="preserve">[Allege facts bearing on whether the custody is private: e.g., Respondent’s statements that it owns</w:t>
      </w:r>
      <w:r>
        <w:t xml:space="preserve"> </w:t>
      </w:r>
      <w:r>
        <w:t xml:space="preserve">the being or acquired it [by purchase / recovery / transfer], the absence of any government contract or</w:t>
      </w:r>
      <w:r>
        <w:t xml:space="preserve"> </w:t>
      </w:r>
      <w:r>
        <w:t xml:space="preserve">direction that Petitioner knows of, and any claim of intellectual property in information derived from</w:t>
      </w:r>
      <w:r>
        <w:t xml:space="preserve"> </w:t>
      </w:r>
      <w:r>
        <w:t xml:space="preserve">the being (</w:t>
      </w:r>
      <w:hyperlink r:id="rId24">
        <w:r>
          <w:rPr>
            <w:rStyle w:val="Hyperlink"/>
          </w:rPr>
          <w:t xml:space="preserve">Issue E2</w:t>
        </w:r>
      </w:hyperlink>
      <w:r>
        <w:t xml:space="preserve">).]</w:t>
      </w:r>
    </w:p>
    <w:p>
      <w:pPr>
        <w:numPr>
          <w:ilvl w:val="0"/>
          <w:numId w:val="1004"/>
        </w:numPr>
        <w:spacing w:lineRule="exact" w:line="480" w:before="0" w:after="0"/>
      </w:pPr>
      <w:r>
        <w:t xml:space="preserve">[If applicable:] On information and belief, Respondents require the being to [take part in tests /</w:t>
      </w:r>
      <w:r>
        <w:t xml:space="preserve"> </w:t>
      </w:r>
      <w:r>
        <w:t xml:space="preserve">assist with the analysis of technology / perform work] under threat of [physical restraint / withholding</w:t>
      </w:r>
      <w:r>
        <w:t xml:space="preserve"> </w:t>
      </w:r>
      <w:r>
        <w:t xml:space="preserve">of care / other coercion]. [State the basis for this allegation.]</w:t>
      </w:r>
    </w:p>
    <w:p>
      <w:pPr>
        <w:numPr>
          <w:ilvl w:val="0"/>
          <w:numId w:val="1004"/>
        </w:numPr>
        <w:spacing w:lineRule="exact" w:line="480" w:before="0" w:after="0"/>
      </w:pPr>
      <w:r>
        <w:t xml:space="preserve">On information and belief, no court, tribunal, or other neutral body has reviewed the basis for the</w:t>
      </w:r>
      <w:r>
        <w:t xml:space="preserve"> </w:t>
      </w:r>
      <w:r>
        <w:t xml:space="preserve">being’s confinement, and the being has had no access to counsel, an interpreter, or any representative.</w:t>
      </w:r>
    </w:p>
    <w:p>
      <w:pPr>
        <w:pStyle w:val="FirstParagraph"/>
        <w:keepNext/>
        <w:spacing w:lineRule="exact" w:line="480" w:before="0" w:after="0"/>
        <w:jc w:val="center"/>
      </w:pPr>
      <w:r>
        <w:rPr>
          <w:bCs/>
          <w:b/>
        </w:rPr>
        <w:t xml:space="preserve">GROUNDS FOR RELIEF</w:t>
      </w:r>
    </w:p>
    <w:p>
      <w:pPr>
        <w:pStyle w:val="BodyText"/>
        <w:spacing w:lineRule="exact" w:line="480" w:before="0" w:after="0"/>
        <w:ind w:firstLine="720"/>
      </w:pPr>
      <w:r>
        <w:rPr>
          <w:bCs/>
          <w:b/>
        </w:rPr>
        <w:t xml:space="preserve">I. The Court may inquire into a restraint imposed by a private custodian.</w:t>
      </w:r>
    </w:p>
    <w:p>
      <w:pPr>
        <w:pStyle w:val="Compact"/>
        <w:numPr>
          <w:ilvl w:val="0"/>
          <w:numId w:val="1005"/>
        </w:numPr>
        <w:spacing w:lineRule="exact" w:line="480" w:before="0" w:after="0"/>
      </w:pPr>
      <w:r>
        <w:t xml:space="preserve">Section 1473 reaches restraint</w:t>
      </w:r>
      <w:r>
        <w:t xml:space="preserve"> </w:t>
      </w:r>
      <w:r>
        <w:t xml:space="preserve">“</w:t>
      </w:r>
      <w:r>
        <w:t xml:space="preserve">under any pretense,</w:t>
      </w:r>
      <w:r>
        <w:t xml:space="preserve">”</w:t>
      </w:r>
      <w:r>
        <w:t xml:space="preserve"> </w:t>
      </w:r>
      <w:r>
        <w:t xml:space="preserve">and section 1474 requires the petition to</w:t>
      </w:r>
      <w:r>
        <w:t xml:space="preserve"> </w:t>
      </w:r>
      <w:r>
        <w:t xml:space="preserve">identify</w:t>
      </w:r>
      <w:r>
        <w:t xml:space="preserve"> </w:t>
      </w:r>
      <w:r>
        <w:t xml:space="preserve">“</w:t>
      </w:r>
      <w:r>
        <w:t xml:space="preserve">the officer or person</w:t>
      </w:r>
      <w:r>
        <w:t xml:space="preserve">”</w:t>
      </w:r>
      <w:r>
        <w:t xml:space="preserve"> </w:t>
      </w:r>
      <w:r>
        <w:t xml:space="preserve">responsible. The writ in this State is not confined to custody imposed</w:t>
      </w:r>
      <w:r>
        <w:t xml:space="preserve"> </w:t>
      </w:r>
      <w:r>
        <w:t xml:space="preserve">by government. A private company that confines a living being and asserts a right to keep it must</w:t>
      </w:r>
      <w:r>
        <w:t xml:space="preserve"> </w:t>
      </w:r>
      <w:r>
        <w:t xml:space="preserve">answer for that restraint as any other custodian must.</w:t>
      </w:r>
    </w:p>
    <w:p>
      <w:pPr>
        <w:pStyle w:val="FirstParagraph"/>
        <w:spacing w:lineRule="exact" w:line="480" w:before="0" w:after="0"/>
      </w:pPr>
      <w:r>
        <w:rPr>
          <w:bCs/>
          <w:b/>
        </w:rPr>
        <w:t xml:space="preserve">II. Petitioner may apply on the being’s behalf.</w:t>
      </w:r>
    </w:p>
    <w:p>
      <w:pPr>
        <w:numPr>
          <w:ilvl w:val="0"/>
          <w:numId w:val="1006"/>
        </w:numPr>
        <w:spacing w:lineRule="exact" w:line="480" w:before="0" w:after="0"/>
      </w:pPr>
      <w:r>
        <w:t xml:space="preserve">Section 1474 allows the petition to be</w:t>
      </w:r>
      <w:r>
        <w:t xml:space="preserve"> </w:t>
      </w:r>
      <w:r>
        <w:t xml:space="preserve">“</w:t>
      </w:r>
      <w:r>
        <w:t xml:space="preserve">signed either by the party for whose relief it is intended,</w:t>
      </w:r>
      <w:r>
        <w:t xml:space="preserve"> </w:t>
      </w:r>
      <w:r>
        <w:t xml:space="preserve">or by some person in his behalf.</w:t>
      </w:r>
      <w:r>
        <w:t xml:space="preserve">”</w:t>
      </w:r>
      <w:r>
        <w:t xml:space="preserve"> </w:t>
      </w:r>
      <w:r>
        <w:t xml:space="preserve">The being cannot apply for itself: it is confined in a facility</w:t>
      </w:r>
      <w:r>
        <w:t xml:space="preserve"> </w:t>
      </w:r>
      <w:r>
        <w:t xml:space="preserve">Petitioner cannot enter, has no access to counsel, and [may not communicate in any human language].</w:t>
      </w:r>
      <w:r>
        <w:t xml:space="preserve"> </w:t>
      </w:r>
      <w:r>
        <w:t xml:space="preserve">Petitioner’s relationship with the being is [describe: e.g., direct contact before or during</w:t>
      </w:r>
      <w:r>
        <w:t xml:space="preserve"> </w:t>
      </w:r>
      <w:r>
        <w:t xml:space="preserve">confinement; responsibility for its care; status as the only person outside Respondents’ control who</w:t>
      </w:r>
      <w:r>
        <w:t xml:space="preserve"> </w:t>
      </w:r>
      <w:r>
        <w:t xml:space="preserve">has communicated with it]. Petitioner has no interest adverse to the being’s.</w:t>
      </w:r>
    </w:p>
    <w:p>
      <w:pPr>
        <w:numPr>
          <w:ilvl w:val="0"/>
          <w:numId w:val="1006"/>
        </w:numPr>
        <w:spacing w:lineRule="exact" w:line="480" w:before="0" w:after="0"/>
      </w:pPr>
      <w:r>
        <w:t xml:space="preserve">Federal courts apply a stricter next-friend test under 28 U.S.C. § 2242, requiring an explanation</w:t>
      </w:r>
      <w:r>
        <w:t xml:space="preserve"> </w:t>
      </w:r>
      <w:r>
        <w:t xml:space="preserve">why the real party cannot appear and a next friend truly dedicated to its interests.</w:t>
      </w:r>
      <w:r>
        <w:t xml:space="preserve"> </w:t>
      </w:r>
      <w:r>
        <w:rPr>
          <w:iCs/>
          <w:i/>
        </w:rPr>
        <w:t xml:space="preserve">Whitmore v.</w:t>
      </w:r>
      <w:r>
        <w:rPr>
          <w:iCs/>
          <w:i/>
        </w:rPr>
        <w:t xml:space="preserve"> </w:t>
      </w:r>
      <w:r>
        <w:rPr>
          <w:iCs/>
          <w:i/>
        </w:rPr>
        <w:t xml:space="preserve">Arkansas</w:t>
      </w:r>
      <w:r>
        <w:t xml:space="preserve">, 495 U.S. 149 (1990);</w:t>
      </w:r>
      <w:r>
        <w:t xml:space="preserve"> </w:t>
      </w:r>
      <w:r>
        <w:rPr>
          <w:iCs/>
          <w:i/>
        </w:rPr>
        <w:t xml:space="preserve">Coalition of Clergy, Lawyers, &amp; Professors v. Bush</w:t>
      </w:r>
      <w:r>
        <w:t xml:space="preserve">, 310 F.3d 1153</w:t>
      </w:r>
      <w:r>
        <w:t xml:space="preserve"> </w:t>
      </w:r>
      <w:r>
        <w:t xml:space="preserve">(9th Cir. 2002) (petitioners without a relationship to the detainees lacked standing). Petitioner meets</w:t>
      </w:r>
      <w:r>
        <w:t xml:space="preserve"> </w:t>
      </w:r>
      <w:r>
        <w:t xml:space="preserve">that test as well, for the reasons stated in paragraph 13.</w:t>
      </w:r>
    </w:p>
    <w:p>
      <w:pPr>
        <w:pStyle w:val="FirstParagraph"/>
        <w:spacing w:lineRule="exact" w:line="480" w:before="0" w:after="0"/>
      </w:pPr>
      <w:r>
        <w:rPr>
          <w:bCs/>
          <w:b/>
        </w:rPr>
        <w:t xml:space="preserve">III. The being may invoke the writ.</w:t>
      </w:r>
    </w:p>
    <w:p>
      <w:pPr>
        <w:numPr>
          <w:ilvl w:val="0"/>
          <w:numId w:val="1007"/>
        </w:numPr>
        <w:spacing w:lineRule="exact" w:line="480" w:before="0" w:after="0"/>
      </w:pPr>
      <w:r>
        <w:t xml:space="preserve">Section 1473 speaks of</w:t>
      </w:r>
      <w:r>
        <w:t xml:space="preserve"> </w:t>
      </w:r>
      <w:r>
        <w:t xml:space="preserve">“</w:t>
      </w:r>
      <w:r>
        <w:t xml:space="preserve">a person.</w:t>
      </w:r>
      <w:r>
        <w:t xml:space="preserve">”</w:t>
      </w:r>
      <w:r>
        <w:t xml:space="preserve"> </w:t>
      </w:r>
      <w:r>
        <w:t xml:space="preserve">The question whether a living, intelligent being of non-human</w:t>
      </w:r>
      <w:r>
        <w:t xml:space="preserve"> </w:t>
      </w:r>
      <w:r>
        <w:t xml:space="preserve">origin is a</w:t>
      </w:r>
      <w:r>
        <w:t xml:space="preserve"> </w:t>
      </w:r>
      <w:r>
        <w:t xml:space="preserve">“</w:t>
      </w:r>
      <w:r>
        <w:t xml:space="preserve">person</w:t>
      </w:r>
      <w:r>
        <w:t xml:space="preserve">”</w:t>
      </w:r>
      <w:r>
        <w:t xml:space="preserve"> </w:t>
      </w:r>
      <w:r>
        <w:t xml:space="preserve">for this purpose is one of first impression in California. The decisions that</w:t>
      </w:r>
      <w:r>
        <w:t xml:space="preserve"> </w:t>
      </w:r>
      <w:r>
        <w:t xml:space="preserve">refused the writ to animals rested on the animals’ inability to bear duties and answer for their</w:t>
      </w:r>
      <w:r>
        <w:t xml:space="preserve"> </w:t>
      </w:r>
      <w:r>
        <w:t xml:space="preserve">conduct.</w:t>
      </w:r>
      <w:r>
        <w:t xml:space="preserve"> </w:t>
      </w:r>
      <w:r>
        <w:rPr>
          <w:iCs/>
          <w:i/>
        </w:rPr>
        <w:t xml:space="preserve">People ex rel. Nonhuman Rights Project, Inc. v. Lavery</w:t>
      </w:r>
      <w:r>
        <w:t xml:space="preserve">, 124 A.D.3d 148, 152 (3d Dep’t 2014);</w:t>
      </w:r>
      <w:r>
        <w:t xml:space="preserve"> </w:t>
      </w:r>
      <w:r>
        <w:rPr>
          <w:iCs/>
          <w:i/>
        </w:rPr>
        <w:t xml:space="preserve">Matter of Nonhuman Rights Project, Inc. v. Breheny</w:t>
      </w:r>
      <w:r>
        <w:t xml:space="preserve">, 38 N.Y.3d 555 (2022). Those decisions are not</w:t>
      </w:r>
      <w:r>
        <w:t xml:space="preserve"> </w:t>
      </w:r>
      <w:r>
        <w:t xml:space="preserve">binding here, and their reasoning supports this petition: a being that can [reason, communicate, and make</w:t>
      </w:r>
      <w:r>
        <w:t xml:space="preserve"> </w:t>
      </w:r>
      <w:r>
        <w:t xml:space="preserve">and keep agreements] has the capacities those courts found missing. The Court need not decide the</w:t>
      </w:r>
      <w:r>
        <w:t xml:space="preserve"> </w:t>
      </w:r>
      <w:r>
        <w:t xml:space="preserve">question finally to issue an order to show cause, because the facts on which it depends (the being’s</w:t>
      </w:r>
      <w:r>
        <w:t xml:space="preserve"> </w:t>
      </w:r>
      <w:r>
        <w:t xml:space="preserve">capacities and the conditions of confinement) are in Respondents’ exclusive possession.</w:t>
      </w:r>
    </w:p>
    <w:p>
      <w:pPr>
        <w:numPr>
          <w:ilvl w:val="0"/>
          <w:numId w:val="1007"/>
        </w:numPr>
        <w:spacing w:lineRule="exact" w:line="480" w:before="0" w:after="0"/>
      </w:pPr>
      <w:r>
        <w:t xml:space="preserve">The writ has historically reached persons whom the law of the time treated as property.</w:t>
      </w:r>
      <w:r>
        <w:t xml:space="preserve"> </w:t>
      </w:r>
      <w:r>
        <w:rPr>
          <w:iCs/>
          <w:i/>
        </w:rPr>
        <w:t xml:space="preserve">Somerset v.</w:t>
      </w:r>
      <w:r>
        <w:rPr>
          <w:iCs/>
          <w:i/>
        </w:rPr>
        <w:t xml:space="preserve"> </w:t>
      </w:r>
      <w:r>
        <w:rPr>
          <w:iCs/>
          <w:i/>
        </w:rPr>
        <w:t xml:space="preserve">Stewart</w:t>
      </w:r>
      <w:r>
        <w:t xml:space="preserve">, Lofft 1, 98 Eng. Rep. 499 (K.B. 1772). A custodian’s claim to own the being is the question to</w:t>
      </w:r>
      <w:r>
        <w:t xml:space="preserve"> </w:t>
      </w:r>
      <w:r>
        <w:t xml:space="preserve">be decided at the hearing; it is no answer to the petition.</w:t>
      </w:r>
    </w:p>
    <w:p>
      <w:pPr>
        <w:pStyle w:val="FirstParagraph"/>
        <w:spacing w:lineRule="exact" w:line="480" w:before="0" w:after="0"/>
        <w:ind w:firstLine="720"/>
      </w:pPr>
      <w:r>
        <w:rPr>
          <w:bCs/>
          <w:b/>
        </w:rPr>
        <w:t xml:space="preserve">IV. A restraint that compels the being to work is unlawful in any event.</w:t>
      </w:r>
    </w:p>
    <w:p>
      <w:pPr>
        <w:pStyle w:val="Compact"/>
        <w:numPr>
          <w:ilvl w:val="0"/>
          <w:numId w:val="1008"/>
        </w:numPr>
        <w:spacing w:lineRule="exact" w:line="480" w:before="0" w:after="0"/>
      </w:pPr>
      <w:r>
        <w:t xml:space="preserve">[Include only if paragraph 10 is alleged.] The Thirteenth Amendment provides that</w:t>
      </w:r>
      <w:r>
        <w:t xml:space="preserve"> </w:t>
      </w:r>
      <w:r>
        <w:t xml:space="preserve">“</w:t>
      </w:r>
      <w:r>
        <w:t xml:space="preserve">[n]either slavery</w:t>
      </w:r>
      <w:r>
        <w:t xml:space="preserve"> </w:t>
      </w:r>
      <w:r>
        <w:t xml:space="preserve">nor involuntary servitude, except as a punishment for crime whereof the party shall have been duly</w:t>
      </w:r>
      <w:r>
        <w:t xml:space="preserve"> </w:t>
      </w:r>
      <w:r>
        <w:t xml:space="preserve">convicted, shall exist within the United States, or any place subject to their jurisdiction.</w:t>
      </w:r>
      <w:r>
        <w:t xml:space="preserve">”</w:t>
      </w:r>
      <w:r>
        <w:t xml:space="preserve"> </w:t>
      </w:r>
      <w:r>
        <w:t xml:space="preserve">Its text</w:t>
      </w:r>
      <w:r>
        <w:t xml:space="preserve"> </w:t>
      </w:r>
      <w:r>
        <w:t xml:space="preserve">turns on the condition imposed, without reference to the status of the person subjected to it, and it</w:t>
      </w:r>
      <w:r>
        <w:t xml:space="preserve"> </w:t>
      </w:r>
      <w:r>
        <w:t xml:space="preserve">applies to private conduct.</w:t>
      </w:r>
      <w:r>
        <w:t xml:space="preserve"> </w:t>
      </w:r>
      <w:r>
        <w:rPr>
          <w:iCs/>
          <w:i/>
        </w:rPr>
        <w:t xml:space="preserve">United States v. Kozminski</w:t>
      </w:r>
      <w:r>
        <w:t xml:space="preserve">, 487 U.S. 931 (1988), defines involuntary</w:t>
      </w:r>
      <w:r>
        <w:t xml:space="preserve"> </w:t>
      </w:r>
      <w:r>
        <w:t xml:space="preserve">servitude as compelled labor obtained through physical or legal coercion. Confinement for the purpose of</w:t>
      </w:r>
      <w:r>
        <w:t xml:space="preserve"> </w:t>
      </w:r>
      <w:r>
        <w:t xml:space="preserve">compelling the being to [work / take part in tests] falls within that definition and cannot be a lawful</w:t>
      </w:r>
      <w:r>
        <w:t xml:space="preserve"> </w:t>
      </w:r>
      <w:r>
        <w:t xml:space="preserve">cause of restraint.</w:t>
      </w:r>
    </w:p>
    <w:p>
      <w:pPr>
        <w:pStyle w:val="FirstParagraph"/>
        <w:spacing w:lineRule="exact" w:line="480" w:before="0" w:after="0"/>
        <w:ind w:firstLine="720"/>
      </w:pPr>
      <w:r>
        <w:rPr>
          <w:bCs/>
          <w:b/>
        </w:rPr>
        <w:t xml:space="preserve">V. Respondents must state whether they claim federal authority, and on what basis.</w:t>
      </w:r>
    </w:p>
    <w:p>
      <w:pPr>
        <w:numPr>
          <w:ilvl w:val="0"/>
          <w:numId w:val="1009"/>
        </w:numPr>
        <w:spacing w:lineRule="exact" w:line="480" w:before="0" w:after="0"/>
      </w:pPr>
      <w:r>
        <w:t xml:space="preserve">If Respondents hold the being for the United States, a state court may not order its release.</w:t>
      </w:r>
      <w:r>
        <w:t xml:space="preserve"> </w:t>
      </w:r>
      <w:r>
        <w:rPr>
          <w:iCs/>
          <w:i/>
        </w:rPr>
        <w:t xml:space="preserve">Tarble’s</w:t>
      </w:r>
      <w:r>
        <w:rPr>
          <w:iCs/>
          <w:i/>
        </w:rPr>
        <w:t xml:space="preserve"> </w:t>
      </w:r>
      <w:r>
        <w:rPr>
          <w:iCs/>
          <w:i/>
        </w:rPr>
        <w:t xml:space="preserve">Case</w:t>
      </w:r>
      <w:r>
        <w:t xml:space="preserve">, 80 U.S. (13 Wall.) 397 (1872);</w:t>
      </w:r>
      <w:r>
        <w:t xml:space="preserve"> </w:t>
      </w:r>
      <w:r>
        <w:rPr>
          <w:iCs/>
          <w:i/>
        </w:rPr>
        <w:t xml:space="preserve">Ableman v. Booth</w:t>
      </w:r>
      <w:r>
        <w:t xml:space="preserve">, 62 U.S. (21 How.) 506 (1859). Petitioner therefore</w:t>
      </w:r>
      <w:r>
        <w:t xml:space="preserve"> </w:t>
      </w:r>
      <w:r>
        <w:t xml:space="preserve">asks that the return state whether Respondents claim to hold the being under the authority of the United</w:t>
      </w:r>
      <w:r>
        <w:t xml:space="preserve"> </w:t>
      </w:r>
      <w:r>
        <w:t xml:space="preserve">States and, if so, identify the contract, order, or other instrument on which they rely. If the return</w:t>
      </w:r>
      <w:r>
        <w:t xml:space="preserve"> </w:t>
      </w:r>
      <w:r>
        <w:t xml:space="preserve">claims federal authority, Petitioner will seek relief in federal court, where the writ extends to a</w:t>
      </w:r>
      <w:r>
        <w:t xml:space="preserve"> </w:t>
      </w:r>
      <w:r>
        <w:t xml:space="preserve">prisoner</w:t>
      </w:r>
      <w:r>
        <w:t xml:space="preserve"> </w:t>
      </w:r>
      <w:r>
        <w:t xml:space="preserve">“</w:t>
      </w:r>
      <w:r>
        <w:t xml:space="preserve">in custody under or by color of the authority of the United States.</w:t>
      </w:r>
      <w:r>
        <w:t xml:space="preserve">”</w:t>
      </w:r>
      <w:r>
        <w:t xml:space="preserve"> </w:t>
      </w:r>
      <w:r>
        <w:t xml:space="preserve">28 U.S.C. § 2241(c)(1).</w:t>
      </w:r>
      <w:r>
        <w:t xml:space="preserve"> </w:t>
      </w:r>
      <w:r>
        <w:t xml:space="preserve">If the return disclaims federal authority, the restraint is a private one and this Court should decide</w:t>
      </w:r>
      <w:r>
        <w:t xml:space="preserve"> </w:t>
      </w:r>
      <w:r>
        <w:t xml:space="preserve">it.</w:t>
      </w:r>
    </w:p>
    <w:p>
      <w:pPr>
        <w:numPr>
          <w:ilvl w:val="0"/>
          <w:numId w:val="1009"/>
        </w:numPr>
        <w:spacing w:lineRule="exact" w:line="480" w:before="0" w:after="0"/>
      </w:pPr>
      <w:r>
        <w:t xml:space="preserve">Respondents may seek to remove this proceeding under 28 U.S.C. § 1442(a)(1) as persons</w:t>
      </w:r>
      <w:r>
        <w:t xml:space="preserve"> </w:t>
      </w:r>
      <w:r>
        <w:t xml:space="preserve">“</w:t>
      </w:r>
      <w:r>
        <w:t xml:space="preserve">acting under</w:t>
      </w:r>
      <w:r>
        <w:t xml:space="preserve">”</w:t>
      </w:r>
      <w:r>
        <w:t xml:space="preserve"> </w:t>
      </w:r>
      <w:r>
        <w:t xml:space="preserve">a federal officer. A contractor that invokes that statute must show that it was helping to carry out the</w:t>
      </w:r>
      <w:r>
        <w:t xml:space="preserve"> </w:t>
      </w:r>
      <w:r>
        <w:t xml:space="preserve">duties of a federal superior,</w:t>
      </w:r>
      <w:r>
        <w:t xml:space="preserve"> </w:t>
      </w:r>
      <w:r>
        <w:rPr>
          <w:iCs/>
          <w:i/>
        </w:rPr>
        <w:t xml:space="preserve">Watson v. Philip Morris Cos.</w:t>
      </w:r>
      <w:r>
        <w:t xml:space="preserve">, 551 U.S. 142 (2007), and that showing</w:t>
      </w:r>
      <w:r>
        <w:t xml:space="preserve"> </w:t>
      </w:r>
      <w:r>
        <w:t xml:space="preserve">establishes the federal custody that makes § 2241 available.</w:t>
      </w:r>
    </w:p>
    <w:p>
      <w:pPr>
        <w:pStyle w:val="FirstParagraph"/>
        <w:spacing w:lineRule="exact" w:line="480" w:before="0" w:after="0"/>
      </w:pPr>
      <w:r>
        <w:rPr>
          <w:bCs/>
          <w:b/>
        </w:rPr>
        <w:t xml:space="preserve">VI. Secrecy is not a reason to withhold the writ.</w:t>
      </w:r>
    </w:p>
    <w:p>
      <w:pPr>
        <w:pStyle w:val="Compact"/>
        <w:numPr>
          <w:ilvl w:val="0"/>
          <w:numId w:val="1010"/>
        </w:numPr>
        <w:spacing w:lineRule="exact" w:line="480" w:before="0" w:after="0"/>
      </w:pPr>
      <w:r>
        <w:t xml:space="preserve">If Respondents or the United States contend that the matter involves classified information, the</w:t>
      </w:r>
      <w:r>
        <w:t xml:space="preserve"> </w:t>
      </w:r>
      <w:r>
        <w:t xml:space="preserve">Court can protect that information through a protective order, sealing, and in camera review while</w:t>
      </w:r>
      <w:r>
        <w:t xml:space="preserve"> </w:t>
      </w:r>
      <w:r>
        <w:t xml:space="preserve">requiring Respondents to state the authority for the restraint. The federal courts did so in the</w:t>
      </w:r>
      <w:r>
        <w:t xml:space="preserve"> </w:t>
      </w:r>
      <w:r>
        <w:t xml:space="preserve">Guantánamo habeas cases.</w:t>
      </w:r>
      <w:r>
        <w:t xml:space="preserve"> </w:t>
      </w:r>
      <w:r>
        <w:rPr>
          <w:iCs/>
          <w:i/>
        </w:rPr>
        <w:t xml:space="preserve">Rasul v. Bush</w:t>
      </w:r>
      <w:r>
        <w:t xml:space="preserve">, 542 U.S. 466 (2004);</w:t>
      </w:r>
      <w:r>
        <w:t xml:space="preserve"> </w:t>
      </w:r>
      <w:r>
        <w:rPr>
          <w:iCs/>
          <w:i/>
        </w:rPr>
        <w:t xml:space="preserve">In re Guantanamo Bay Detainee</w:t>
      </w:r>
      <w:r>
        <w:rPr>
          <w:iCs/>
          <w:i/>
        </w:rPr>
        <w:t xml:space="preserve"> </w:t>
      </w:r>
      <w:r>
        <w:rPr>
          <w:iCs/>
          <w:i/>
        </w:rPr>
        <w:t xml:space="preserve">Litigation</w:t>
      </w:r>
      <w:r>
        <w:t xml:space="preserve">, 577 F. Supp. 2d 143 (D.D.C. 2008). The state secrets privilege is an evidentiary privilege</w:t>
      </w:r>
      <w:r>
        <w:t xml:space="preserve"> </w:t>
      </w:r>
      <w:r>
        <w:t xml:space="preserve">that only the United States may assert, by formal claim, and it does not entitle a private custodian to</w:t>
      </w:r>
      <w:r>
        <w:t xml:space="preserve"> </w:t>
      </w:r>
      <w:r>
        <w:t xml:space="preserve">refuse to answer (</w:t>
      </w:r>
      <w:hyperlink r:id="rId23">
        <w:r>
          <w:rPr>
            <w:rStyle w:val="Hyperlink"/>
          </w:rPr>
          <w:t xml:space="preserve">Issue A1</w:t>
        </w:r>
      </w:hyperlink>
      <w:r>
        <w:t xml:space="preserve">).</w:t>
      </w:r>
    </w:p>
    <w:p>
      <w:pPr>
        <w:pStyle w:val="FirstParagraph"/>
        <w:keepNext/>
        <w:spacing w:lineRule="exact" w:line="480" w:before="0" w:after="0"/>
        <w:jc w:val="center"/>
      </w:pPr>
      <w:r>
        <w:rPr>
          <w:bCs/>
          <w:b/>
        </w:rPr>
        <w:t xml:space="preserve">RELIEF REQUESTED</w:t>
      </w:r>
    </w:p>
    <w:p>
      <w:pPr>
        <w:pStyle w:val="BodyText"/>
        <w:spacing w:lineRule="exact" w:line="480" w:before="0" w:after="0"/>
      </w:pPr>
      <w:r>
        <w:t xml:space="preserve">Petitioner asks the Court to:</w:t>
      </w:r>
    </w:p>
    <w:p>
      <w:pPr>
        <w:pStyle w:val="BodyText"/>
        <w:spacing w:lineRule="exact" w:line="480" w:before="0" w:after="0"/>
        <w:ind w:firstLine="720"/>
      </w:pPr>
      <w:r>
        <w:t xml:space="preserve">A. Issue an order to show cause directing Respondents to file a return stating whether they have the</w:t>
      </w:r>
      <w:r>
        <w:t xml:space="preserve"> </w:t>
      </w:r>
      <w:r>
        <w:t xml:space="preserve">being in their custody or under their restraint, the authority and cause of the restraint, and whether</w:t>
      </w:r>
      <w:r>
        <w:t xml:space="preserve"> </w:t>
      </w:r>
      <w:r>
        <w:t xml:space="preserve">they claim to act under the authority of the United States, with any instrument on which they rely;</w:t>
      </w:r>
    </w:p>
    <w:p>
      <w:pPr>
        <w:pStyle w:val="BodyText"/>
        <w:spacing w:lineRule="exact" w:line="480" w:before="0" w:after="0"/>
        <w:ind w:firstLine="720"/>
      </w:pPr>
      <w:r>
        <w:t xml:space="preserve">B. Order Respondents not to move the being out of the State, or transfer custody of it, without leave of</w:t>
      </w:r>
      <w:r>
        <w:t xml:space="preserve"> </w:t>
      </w:r>
      <w:r>
        <w:t xml:space="preserve">the Court;</w:t>
      </w:r>
    </w:p>
    <w:p>
      <w:pPr>
        <w:pStyle w:val="BodyText"/>
        <w:spacing w:lineRule="exact" w:line="480" w:before="0" w:after="0"/>
        <w:ind w:firstLine="720"/>
      </w:pPr>
      <w:r>
        <w:t xml:space="preserve">C. Order Respondents to preserve all records, recordings, specimens, and other evidence concerning the</w:t>
      </w:r>
      <w:r>
        <w:t xml:space="preserve"> </w:t>
      </w:r>
      <w:r>
        <w:t xml:space="preserve">being and its confinement;</w:t>
      </w:r>
    </w:p>
    <w:p>
      <w:pPr>
        <w:pStyle w:val="BodyText"/>
        <w:spacing w:lineRule="exact" w:line="480" w:before="0" w:after="0"/>
        <w:ind w:firstLine="720"/>
      </w:pPr>
      <w:r>
        <w:t xml:space="preserve">D. Order Respondents to provide the being with humane conditions, necessary care, and [interpretation /</w:t>
      </w:r>
      <w:r>
        <w:t xml:space="preserve"> </w:t>
      </w:r>
      <w:r>
        <w:t xml:space="preserve">means of communication] pending further order, and to file under seal a report on its condition;</w:t>
      </w:r>
    </w:p>
    <w:p>
      <w:pPr>
        <w:pStyle w:val="BodyText"/>
        <w:spacing w:lineRule="exact" w:line="480" w:before="0" w:after="0"/>
        <w:ind w:firstLine="720"/>
      </w:pPr>
      <w:r>
        <w:t xml:space="preserve">E. Appoint [counsel / a guardian ad litem] for the being and enter a protective order for any</w:t>
      </w:r>
      <w:r>
        <w:t xml:space="preserve"> </w:t>
      </w:r>
      <w:r>
        <w:t xml:space="preserve">confidential or classified information;</w:t>
      </w:r>
    </w:p>
    <w:p>
      <w:pPr>
        <w:pStyle w:val="BodyText"/>
        <w:spacing w:lineRule="exact" w:line="480" w:before="0" w:after="0"/>
        <w:ind w:firstLine="720"/>
      </w:pPr>
      <w:r>
        <w:t xml:space="preserve">F. Hold an evidentiary hearing, with leave for Petitioner to take discovery limited to the issues in</w:t>
      </w:r>
      <w:r>
        <w:t xml:space="preserve"> </w:t>
      </w:r>
      <w:r>
        <w:t xml:space="preserve">the return;</w:t>
      </w:r>
    </w:p>
    <w:p>
      <w:pPr>
        <w:pStyle w:val="BodyText"/>
        <w:spacing w:lineRule="exact" w:line="480" w:before="0" w:after="0"/>
        <w:ind w:firstLine="720"/>
      </w:pPr>
      <w:r>
        <w:t xml:space="preserve">G. Grant the writ and order the being released from any restraint found unlawful, to [a place of safety</w:t>
      </w:r>
      <w:r>
        <w:t xml:space="preserve"> </w:t>
      </w:r>
      <w:r>
        <w:t xml:space="preserve">acceptable to the being / the custody of a person or body the Court approves], on such conditions as the</w:t>
      </w:r>
      <w:r>
        <w:t xml:space="preserve"> </w:t>
      </w:r>
      <w:r>
        <w:t xml:space="preserve">Court finds necessary; and</w:t>
      </w:r>
    </w:p>
    <w:p>
      <w:pPr>
        <w:pStyle w:val="BodyText"/>
        <w:spacing w:lineRule="exact" w:line="480" w:before="0" w:after="0"/>
      </w:pPr>
      <w:r>
        <w:t xml:space="preserve">H. Grant such other relief as is just.</w:t>
      </w:r>
    </w:p>
    <w:p>
      <w:pPr>
        <w:pStyle w:val="BodyText"/>
        <w:spacing w:lineRule="exact" w:line="480" w:before="0" w:after="0"/>
      </w:pPr>
      <w:r>
        <w:t xml:space="preserve">Dated: [__________] Respectfully submitted,</w:t>
      </w:r>
      <w:r>
        <w:br/>
      </w:r>
      <w:r>
        <w:t xml:space="preserve">[signature block]</w:t>
      </w:r>
    </w:p>
    <w:p>
      <w:pPr>
        <w:pStyle w:val="BodyText"/>
        <w:keepNext/>
        <w:spacing w:lineRule="exact" w:line="480" w:before="0" w:after="0"/>
        <w:jc w:val="center"/>
      </w:pPr>
      <w:r>
        <w:rPr>
          <w:bCs/>
          <w:b/>
        </w:rPr>
        <w:t xml:space="preserve">VERIFICATION</w:t>
      </w:r>
    </w:p>
    <w:p>
      <w:pPr>
        <w:pStyle w:val="BodyText"/>
        <w:spacing w:lineRule="exact" w:line="480" w:before="0" w:after="0"/>
        <w:ind w:firstLine="720"/>
      </w:pPr>
      <w:r>
        <w:t xml:space="preserve">I, [Petitioner], declare under penalty of perjury under the laws of the State of California that I have</w:t>
      </w:r>
      <w:r>
        <w:t xml:space="preserve"> </w:t>
      </w:r>
      <w:r>
        <w:t xml:space="preserve">read this petition and that the facts stated in it are true of my own knowledge, except as to matters</w:t>
      </w:r>
      <w:r>
        <w:t xml:space="preserve"> </w:t>
      </w:r>
      <w:r>
        <w:t xml:space="preserve">stated on information and belief, and as to those matters I believe them to be true, and I have stated</w:t>
      </w:r>
      <w:r>
        <w:t xml:space="preserve"> </w:t>
      </w:r>
      <w:r>
        <w:t xml:space="preserve">the basis for each such matter.</w:t>
      </w:r>
      <w:r>
        <w:br/>
      </w:r>
      <w:r>
        <w:t xml:space="preserve">[Signature, date, place]</w:t>
      </w:r>
    </w:p>
    <w:p>
      <w:pPr>
        <w:pStyle w:val="BodyText"/>
        <w:spacing w:lineRule="exact" w:line="40" w:before="0" w:after="0"/>
        <w:sectPr>
          <w:headerReference w:type="default" r:id="rId11"/>
          <w:footerReference w:type="default" r:id="rId12"/>
          <w:pgSz w:h="15840" w:w="12240"/>
          <w:pgMar w:bottom="936" w:left="2160" w:right="864" w:top="1440" w:header="576" w:footer="360"/>
          <w:pgBorders w:offsetFrom="text">
            <w:left w:val="double" w:sz="4" w:space="4" w:color="000000"/>
            <w:right w:val="single" w:sz="4" w:space="4" w:color="000000"/>
          </w:pgBorders>
          <w:pgNumType w:start="1"/>
        </w:sectPr>
      </w:pPr>
    </w:p>
    <w:bookmarkStart w:id="26" w:name="drafting-notes"/>
    <w:p>
      <w:pPr>
        <w:pStyle w:val="Heading2"/>
      </w:pPr>
      <w:r>
        <w:t xml:space="preserve">Drafting notes</w:t>
      </w:r>
    </w:p>
    <w:p>
      <w:pPr>
        <w:pStyle w:val="Compact"/>
        <w:numPr>
          <w:ilvl w:val="0"/>
          <w:numId w:val="1011"/>
        </w:numPr>
      </w:pPr>
      <w:r>
        <w:rPr>
          <w:bCs/>
          <w:b/>
        </w:rPr>
        <w:t xml:space="preserve">Choosing the court.</w:t>
      </w:r>
      <w:r>
        <w:t xml:space="preserve"> </w:t>
      </w:r>
      <w:r>
        <w:t xml:space="preserve">File where the being is restrained. Nevada’s statute is as broad as</w:t>
      </w:r>
      <w:r>
        <w:t xml:space="preserve"> </w:t>
      </w:r>
      <w:r>
        <w:t xml:space="preserve">California’s:</w:t>
      </w:r>
      <w:r>
        <w:t xml:space="preserve"> </w:t>
      </w:r>
      <w:r>
        <w:t xml:space="preserve">“</w:t>
      </w:r>
      <w:r>
        <w:t xml:space="preserve">Every person unlawfully committed, detained, confined or restrained of his or her</w:t>
      </w:r>
      <w:r>
        <w:t xml:space="preserve"> </w:t>
      </w:r>
      <w:r>
        <w:t xml:space="preserve">liberty, under any pretense whatever, may prosecute a writ of habeas corpus.</w:t>
      </w:r>
      <w:r>
        <w:t xml:space="preserve">”</w:t>
      </w:r>
      <w:r>
        <w:t xml:space="preserve"> </w:t>
      </w:r>
      <w:r>
        <w:t xml:space="preserve">Nev. Rev. Stat. § 34.360;</w:t>
      </w:r>
      <w:r>
        <w:t xml:space="preserve"> </w:t>
      </w:r>
      <w:r>
        <w:t xml:space="preserve">see §§ 34.360-34.680 for procedure. Check the statute of any other State for its coverage of private</w:t>
      </w:r>
      <w:r>
        <w:t xml:space="preserve"> </w:t>
      </w:r>
      <w:r>
        <w:t xml:space="preserve">restraint and its rule on who may apply. Avoid New York, where</w:t>
      </w:r>
      <w:r>
        <w:t xml:space="preserve"> </w:t>
      </w:r>
      <w:r>
        <w:rPr>
          <w:iCs/>
          <w:i/>
        </w:rPr>
        <w:t xml:space="preserve">Breheny</w:t>
      </w:r>
      <w:r>
        <w:t xml:space="preserve"> </w:t>
      </w:r>
      <w:r>
        <w:t xml:space="preserve">binds the courts.</w:t>
      </w:r>
    </w:p>
    <w:p>
      <w:pPr>
        <w:pStyle w:val="Compact"/>
        <w:numPr>
          <w:ilvl w:val="0"/>
          <w:numId w:val="1011"/>
        </w:numPr>
      </w:pPr>
      <w:r>
        <w:rPr>
          <w:bCs/>
          <w:b/>
        </w:rPr>
        <w:t xml:space="preserve">The federal question decides the forum.</w:t>
      </w:r>
      <w:r>
        <w:t xml:space="preserve"> </w:t>
      </w:r>
      <w:r>
        <w:t xml:space="preserve">Part V is the core of the petition. A return or removal</w:t>
      </w:r>
      <w:r>
        <w:t xml:space="preserve"> </w:t>
      </w:r>
      <w:r>
        <w:t xml:space="preserve">notice that claims federal authority is the admission</w:t>
      </w:r>
      <w:r>
        <w:t xml:space="preserve"> </w:t>
      </w:r>
      <w:hyperlink r:id="rId20">
        <w:r>
          <w:rPr>
            <w:rStyle w:val="Hyperlink"/>
          </w:rPr>
          <w:t xml:space="preserve">Form F1-1</w:t>
        </w:r>
      </w:hyperlink>
      <w:r>
        <w:t xml:space="preserve"> </w:t>
      </w:r>
      <w:r>
        <w:t xml:space="preserve">needs; a return that disclaims it leaves</w:t>
      </w:r>
      <w:r>
        <w:t xml:space="preserve"> </w:t>
      </w:r>
      <w:r>
        <w:t xml:space="preserve">the case in state court. Have</w:t>
      </w:r>
      <w:r>
        <w:t xml:space="preserve"> </w:t>
      </w:r>
      <w:hyperlink r:id="rId20">
        <w:r>
          <w:rPr>
            <w:rStyle w:val="Hyperlink"/>
          </w:rPr>
          <w:t xml:space="preserve">Form F1-1</w:t>
        </w:r>
      </w:hyperlink>
      <w:r>
        <w:t xml:space="preserve"> </w:t>
      </w:r>
      <w:r>
        <w:t xml:space="preserve">ready to file the same day.</w:t>
      </w:r>
    </w:p>
    <w:p>
      <w:pPr>
        <w:pStyle w:val="Compact"/>
        <w:numPr>
          <w:ilvl w:val="0"/>
          <w:numId w:val="1011"/>
        </w:numPr>
      </w:pPr>
      <w:r>
        <w:rPr>
          <w:bCs/>
          <w:b/>
        </w:rPr>
        <w:t xml:space="preserve">Removal.</w:t>
      </w:r>
      <w:r>
        <w:t xml:space="preserve"> </w:t>
      </w:r>
      <w:r>
        <w:t xml:space="preserve">If Respondents remove under 28 U.S.C. § 1442, ask the federal court to treat the petition as</w:t>
      </w:r>
      <w:r>
        <w:t xml:space="preserve"> </w:t>
      </w:r>
      <w:r>
        <w:t xml:space="preserve">one under § 2241 and to require the return described in Prayer A. Discovery in federal habeas is</w:t>
      </w:r>
      <w:r>
        <w:t xml:space="preserve"> </w:t>
      </w:r>
      <w:r>
        <w:t xml:space="preserve">available for good cause.</w:t>
      </w:r>
      <w:r>
        <w:t xml:space="preserve"> </w:t>
      </w:r>
      <w:r>
        <w:rPr>
          <w:iCs/>
          <w:i/>
        </w:rPr>
        <w:t xml:space="preserve">Harris v. Nelson</w:t>
      </w:r>
      <w:r>
        <w:t xml:space="preserve">, 394 U.S. 286 (1969); Rule 6 of the Rules Governing</w:t>
      </w:r>
      <w:r>
        <w:t xml:space="preserve"> </w:t>
      </w:r>
      <w:r>
        <w:t xml:space="preserve">Section 2254 Cases, applicable to § 2241 petitions under Rule 1(b).</w:t>
      </w:r>
    </w:p>
    <w:p>
      <w:pPr>
        <w:pStyle w:val="Compact"/>
        <w:numPr>
          <w:ilvl w:val="0"/>
          <w:numId w:val="1011"/>
        </w:numPr>
      </w:pPr>
      <w:r>
        <w:rPr>
          <w:bCs/>
          <w:b/>
        </w:rPr>
        <w:t xml:space="preserve">Relief.</w:t>
      </w:r>
      <w:r>
        <w:t xml:space="preserve"> </w:t>
      </w:r>
      <w:r>
        <w:t xml:space="preserve">Courts can order an end to unlawful custody but are reluctant to order a detainee released</w:t>
      </w:r>
      <w:r>
        <w:t xml:space="preserve"> </w:t>
      </w:r>
      <w:r>
        <w:t xml:space="preserve">into a particular place or country.</w:t>
      </w:r>
      <w:r>
        <w:t xml:space="preserve"> </w:t>
      </w:r>
      <w:r>
        <w:rPr>
          <w:iCs/>
          <w:i/>
        </w:rPr>
        <w:t xml:space="preserve">Kiyemba v. Obama</w:t>
      </w:r>
      <w:r>
        <w:t xml:space="preserve">, 605 F.3d 1046 (D.C. Cir. 2010) (reinstating 555</w:t>
      </w:r>
      <w:r>
        <w:t xml:space="preserve"> </w:t>
      </w:r>
      <w:r>
        <w:t xml:space="preserve">F.3d 1022, which had been vacated, 559 U.S. 131 (2010));</w:t>
      </w:r>
      <w:r>
        <w:t xml:space="preserve"> </w:t>
      </w:r>
      <w:r>
        <w:rPr>
          <w:iCs/>
          <w:i/>
        </w:rPr>
        <w:t xml:space="preserve">Munaf v. Geren</w:t>
      </w:r>
      <w:r>
        <w:t xml:space="preserve">, 553 U.S. 674 (2008). Prayer G</w:t>
      </w:r>
      <w:r>
        <w:t xml:space="preserve"> </w:t>
      </w:r>
      <w:r>
        <w:t xml:space="preserve">asks for release to a place of safety on conditions, which a court can grant; plan where the being would</w:t>
      </w:r>
      <w:r>
        <w:t xml:space="preserve"> </w:t>
      </w:r>
      <w:r>
        <w:t xml:space="preserve">go and who would care for it, and put that plan in the record.</w:t>
      </w:r>
    </w:p>
    <w:p>
      <w:pPr>
        <w:pStyle w:val="Compact"/>
        <w:numPr>
          <w:ilvl w:val="0"/>
          <w:numId w:val="1011"/>
        </w:numPr>
      </w:pPr>
      <w:r>
        <w:rPr>
          <w:bCs/>
          <w:b/>
        </w:rPr>
        <w:t xml:space="preserve">The being’s wishes.</w:t>
      </w:r>
      <w:r>
        <w:t xml:space="preserve"> </w:t>
      </w:r>
      <w:r>
        <w:t xml:space="preserve">The petition must show that the being is held against its will. Gather every</w:t>
      </w:r>
      <w:r>
        <w:t xml:space="preserve"> </w:t>
      </w:r>
      <w:r>
        <w:t xml:space="preserve">sign of non-consent, and every communication in which it expressed a wish, with the witness to each.</w:t>
      </w:r>
    </w:p>
    <w:p>
      <w:pPr>
        <w:pStyle w:val="Compact"/>
        <w:numPr>
          <w:ilvl w:val="0"/>
          <w:numId w:val="1011"/>
        </w:numPr>
      </w:pPr>
      <w:r>
        <w:rPr>
          <w:bCs/>
          <w:b/>
        </w:rPr>
        <w:t xml:space="preserve">Thirteenth Amendment.</w:t>
      </w:r>
      <w:r>
        <w:t xml:space="preserve"> </w:t>
      </w:r>
      <w:r>
        <w:t xml:space="preserve">Use Part IV only if there is evidence of compelled work or testing. The</w:t>
      </w:r>
      <w:r>
        <w:t xml:space="preserve"> </w:t>
      </w:r>
      <w:r>
        <w:t xml:space="preserve">criminal statutes on forced labor (18 U.S.C. §§ 1584, 1589) and the civil remedy in 18 U.S.C. § 1595 are</w:t>
      </w:r>
      <w:r>
        <w:t xml:space="preserve"> </w:t>
      </w:r>
      <w:r>
        <w:t xml:space="preserve">separate actions and are not part of this petition.</w:t>
      </w:r>
    </w:p>
    <w:p>
      <w:pPr>
        <w:pStyle w:val="Compact"/>
        <w:numPr>
          <w:ilvl w:val="0"/>
          <w:numId w:val="1011"/>
        </w:numPr>
      </w:pPr>
      <w:r>
        <w:rPr>
          <w:bCs/>
          <w:b/>
        </w:rPr>
        <w:t xml:space="preserve">Rule of candor.</w:t>
      </w:r>
      <w:r>
        <w:t xml:space="preserve"> </w:t>
      </w:r>
      <w:r>
        <w:t xml:space="preserve">The petition fails at once if the premise rests on rumor. Build the factual basis</w:t>
      </w:r>
      <w:r>
        <w:t xml:space="preserve"> </w:t>
      </w:r>
      <w:r>
        <w:t xml:space="preserve">from witnesses with first-hand knowledge who used lawful channels, and from official acknowledgments.</w:t>
      </w:r>
    </w:p>
    <w:p>
      <w:pPr>
        <w:pStyle w:val="Compact"/>
        <w:numPr>
          <w:ilvl w:val="0"/>
          <w:numId w:val="1011"/>
        </w:numPr>
      </w:pPr>
      <w:r>
        <w:rPr>
          <w:bCs/>
          <w:b/>
        </w:rPr>
        <w:t xml:space="preserve">Classified information.</w:t>
      </w:r>
      <w:r>
        <w:t xml:space="preserve"> </w:t>
      </w:r>
      <w:r>
        <w:t xml:space="preserve">If any fact is classified, stop and follow</w:t>
      </w:r>
      <w:r>
        <w:t xml:space="preserve"> </w:t>
      </w:r>
      <w:hyperlink r:id="rId23">
        <w:r>
          <w:rPr>
            <w:rStyle w:val="Hyperlink"/>
          </w:rPr>
          <w:t xml:space="preserve">Issue A1</w:t>
        </w:r>
      </w:hyperlink>
      <w:r>
        <w:t xml:space="preserve"> </w:t>
      </w:r>
      <w:r>
        <w:t xml:space="preserve">and</w:t>
      </w:r>
      <w:r>
        <w:t xml:space="preserve"> </w:t>
      </w:r>
      <w:hyperlink r:id="rId25">
        <w:r>
          <w:rPr>
            <w:rStyle w:val="Hyperlink"/>
          </w:rPr>
          <w:t xml:space="preserve">Form A1-1</w:t>
        </w:r>
      </w:hyperlink>
      <w:r>
        <w:t xml:space="preserve"> </w:t>
      </w:r>
      <w:r>
        <w:t xml:space="preserve">before</w:t>
      </w:r>
      <w:r>
        <w:t xml:space="preserve"> </w:t>
      </w:r>
      <w:r>
        <w:t xml:space="preserve">filing; a private custodian cannot invoke the state secrets privilege, but the United States may</w:t>
      </w:r>
      <w:r>
        <w:t xml:space="preserve"> </w:t>
      </w:r>
      <w:r>
        <w:t xml:space="preserve">intervene to assert it.</w:t>
      </w:r>
    </w:p>
    <w:p>
      <w:pPr>
        <w:pStyle w:val="Compact"/>
        <w:numPr>
          <w:ilvl w:val="0"/>
          <w:numId w:val="1011"/>
        </w:numPr>
      </w:pPr>
      <w:r>
        <w:rPr>
          <w:bCs/>
          <w:b/>
        </w:rPr>
        <w:t xml:space="preserve">Pin cites.</w:t>
      </w:r>
      <w:r>
        <w:t xml:space="preserve"> </w:t>
      </w:r>
      <w:r>
        <w:t xml:space="preserve">Add pin cites for</w:t>
      </w:r>
      <w:r>
        <w:t xml:space="preserve"> </w:t>
      </w:r>
      <w:r>
        <w:rPr>
          <w:iCs/>
          <w:i/>
        </w:rPr>
        <w:t xml:space="preserve">Tarble’s Case</w:t>
      </w:r>
      <w:r>
        <w:t xml:space="preserve">,</w:t>
      </w:r>
      <w:r>
        <w:t xml:space="preserve"> </w:t>
      </w:r>
      <w:r>
        <w:rPr>
          <w:iCs/>
          <w:i/>
        </w:rPr>
        <w:t xml:space="preserve">Watson</w:t>
      </w:r>
      <w:r>
        <w:t xml:space="preserve">,</w:t>
      </w:r>
      <w:r>
        <w:t xml:space="preserve"> </w:t>
      </w:r>
      <w:r>
        <w:rPr>
          <w:iCs/>
          <w:i/>
        </w:rPr>
        <w:t xml:space="preserve">Kozminski</w:t>
      </w:r>
      <w:r>
        <w:t xml:space="preserve">,</w:t>
      </w:r>
      <w:r>
        <w:t xml:space="preserve"> </w:t>
      </w:r>
      <w:r>
        <w:rPr>
          <w:iCs/>
          <w:i/>
        </w:rPr>
        <w:t xml:space="preserve">Kiyemba</w:t>
      </w:r>
      <w:r>
        <w:t xml:space="preserve">,</w:t>
      </w:r>
      <w:r>
        <w:t xml:space="preserve"> </w:t>
      </w:r>
      <w:r>
        <w:rPr>
          <w:iCs/>
          <w:i/>
        </w:rPr>
        <w:t xml:space="preserve">Munaf</w:t>
      </w:r>
      <w:r>
        <w:t xml:space="preserve">,</w:t>
      </w:r>
      <w:r>
        <w:t xml:space="preserve"> </w:t>
      </w:r>
      <w:r>
        <w:rPr>
          <w:iCs/>
          <w:i/>
        </w:rPr>
        <w:t xml:space="preserve">Harris</w:t>
      </w:r>
      <w:r>
        <w:t xml:space="preserve">, and</w:t>
      </w:r>
      <w:r>
        <w:t xml:space="preserve"> </w:t>
      </w:r>
      <w:r>
        <w:rPr>
          <w:iCs/>
          <w:i/>
        </w:rPr>
        <w:t xml:space="preserve">Coalition of Clergy</w:t>
      </w:r>
      <w:r>
        <w:t xml:space="preserve"> </w:t>
      </w:r>
      <w:r>
        <w:t xml:space="preserve">after reading each opinion, and run KeyCite before filing. The statutory quotations are current as of</w:t>
      </w:r>
      <w:r>
        <w:t xml:space="preserve"> </w:t>
      </w:r>
      <w:r>
        <w:t xml:space="preserve">October 2026.</w:t>
      </w:r>
    </w:p>
    <w:p>
      <w:pPr>
        <w:pStyle w:val="Compact"/>
        <w:numPr>
          <w:ilvl w:val="0"/>
          <w:numId w:val="1011"/>
        </w:numPr>
      </w:pPr>
      <w:r>
        <w:t xml:space="preserve">Related:</w:t>
      </w:r>
      <w:r>
        <w:t xml:space="preserve"> </w:t>
      </w:r>
      <w:hyperlink r:id="rId21">
        <w:r>
          <w:rPr>
            <w:rStyle w:val="Hyperlink"/>
          </w:rPr>
          <w:t xml:space="preserve">Issue F1</w:t>
        </w:r>
      </w:hyperlink>
      <w:r>
        <w:t xml:space="preserve">, F2, A1, E2; Forms F1-1, A1-1, F2-1.</w:t>
      </w:r>
    </w:p>
    <w:bookmarkEnd w:id="26"/>
    <w:bookmarkEnd w:id="27"/>
    <w:sectPr>
      <w:headerReference w:type="default" r:id="rId13"/>
      <w:footerReference w:type="default" r:id="rId14"/>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Rule="exact" w:line="220" w:before="0" w:after="0"/>
      <w:jc w:val="center"/>
    </w:pPr>
    <w:r>
      <w:rPr>
        <w:rFonts w:ascii="Times New Roman" w:hAnsi="Times New Roman" w:cs="Times New Roman" w:eastAsia="Times New Roman"/>
        <w:sz w:val="20"/>
      </w:rPr>
      <w:fldChar w:fldCharType="begin"/>
    </w:r>
    <w:r>
      <w:rPr>
        <w:rFonts w:ascii="Times New Roman" w:hAnsi="Times New Roman" w:cs="Times New Roman" w:eastAsia="Times New Roman"/>
        <w:sz w:val="20"/>
      </w:rPr>
      <w:instrText xml:space="preserve"> PAGE </w:instrText>
    </w:r>
    <w:r>
      <w:rPr>
        <w:rFonts w:ascii="Times New Roman" w:hAnsi="Times New Roman" w:cs="Times New Roman" w:eastAsia="Times New Roman"/>
        <w:sz w:val="20"/>
      </w:rPr>
      <w:fldChar w:fldCharType="separate"/>
    </w:r>
    <w:r>
      <w:rPr>
        <w:rFonts w:ascii="Times New Roman" w:hAnsi="Times New Roman" w:cs="Times New Roman" w:eastAsia="Times New Roman"/>
        <w:sz w:val="20"/>
      </w:rPr>
      <w:t>1</w:t>
    </w:r>
    <w:r>
      <w:rPr>
        <w:rFonts w:ascii="Times New Roman" w:hAnsi="Times New Roman" w:cs="Times New Roman" w:eastAsia="Times New Roman"/>
        <w:sz w:val="20"/>
      </w:rPr>
      <w:fldChar w:fldCharType="end"/>
    </w:r>
  </w:p>
  <w:p>
    <w:pPr>
      <w:pBdr>
        <w:top w:val="single" w:sz="6" w:space="1" w:color="000000"/>
      </w:pBdr>
      <w:spacing w:lineRule="exact" w:line="220" w:before="0" w:after="0"/>
      <w:jc w:val="center"/>
    </w:pPr>
    <w:r>
      <w:rPr>
        <w:rFonts w:ascii="Times New Roman" w:hAnsi="Times New Roman" w:cs="Times New Roman" w:eastAsia="Times New Roman"/>
        <w:sz w:val="18"/>
      </w:rPr>
      <w:t>VERIFIED PETITION FOR WRIT OF HABEAS CORPUS (PENAL CODE §§ 1473, 1474)</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Rule="exact" w:line="40" w:before="0" w:after="0"/>
    </w:pPr>
    <w:r>
      <w:pict>
        <v:shapetype id="_x0000_t202" coordsize="21600,21600" o:spt="202" path="m,l,21600r21600,l21600,xe">
          <v:stroke joinstyle="miter"/>
          <v:path gradientshapeok="t" o:connecttype="rect"/>
        </v:shapetype>
        <v:shape id="PleadingLineNumbers" o:spid="_x0000_s1025" type="#_x0000_t202" filled="f" stroked="f" style="position:absolute;margin-left:0.8in;margin-top:1in;width:0.5in;height:672pt;z-index:-251657216;mso-position-horizontal-relative:page;mso-position-vertical-relative:page">
          <v:textbox inset="0,0,0,0">
            <w:txbxContent>
              <w:p>
                <w:pPr>
                  <w:spacing w:before="0" w:after="0" w:line="480" w:lineRule="exact"/>
                  <w:jc w:val="right"/>
                </w:pPr>
                <w:r>
                  <w:rPr>
                    <w:rFonts w:ascii="Times New Roman" w:hAnsi="Times New Roman" w:cs="Times New Roman"/>
                    <w:sz w:val="24"/>
                  </w:rPr>
                  <w:t>1</w:t>
                </w:r>
              </w:p>
              <w:p>
                <w:pPr>
                  <w:spacing w:before="0" w:after="0" w:line="480" w:lineRule="exact"/>
                  <w:jc w:val="right"/>
                </w:pPr>
                <w:r>
                  <w:rPr>
                    <w:rFonts w:ascii="Times New Roman" w:hAnsi="Times New Roman" w:cs="Times New Roman"/>
                    <w:sz w:val="24"/>
                  </w:rPr>
                  <w:t>2</w:t>
                </w:r>
              </w:p>
              <w:p>
                <w:pPr>
                  <w:spacing w:before="0" w:after="0" w:line="480" w:lineRule="exact"/>
                  <w:jc w:val="right"/>
                </w:pPr>
                <w:r>
                  <w:rPr>
                    <w:rFonts w:ascii="Times New Roman" w:hAnsi="Times New Roman" w:cs="Times New Roman"/>
                    <w:sz w:val="24"/>
                  </w:rPr>
                  <w:t>3</w:t>
                </w:r>
              </w:p>
              <w:p>
                <w:pPr>
                  <w:spacing w:before="0" w:after="0" w:line="480" w:lineRule="exact"/>
                  <w:jc w:val="right"/>
                </w:pPr>
                <w:r>
                  <w:rPr>
                    <w:rFonts w:ascii="Times New Roman" w:hAnsi="Times New Roman" w:cs="Times New Roman"/>
                    <w:sz w:val="24"/>
                  </w:rPr>
                  <w:t>4</w:t>
                </w:r>
              </w:p>
              <w:p>
                <w:pPr>
                  <w:spacing w:before="0" w:after="0" w:line="480" w:lineRule="exact"/>
                  <w:jc w:val="right"/>
                </w:pPr>
                <w:r>
                  <w:rPr>
                    <w:rFonts w:ascii="Times New Roman" w:hAnsi="Times New Roman" w:cs="Times New Roman"/>
                    <w:sz w:val="24"/>
                  </w:rPr>
                  <w:t>5</w:t>
                </w:r>
              </w:p>
              <w:p>
                <w:pPr>
                  <w:spacing w:before="0" w:after="0" w:line="480" w:lineRule="exact"/>
                  <w:jc w:val="right"/>
                </w:pPr>
                <w:r>
                  <w:rPr>
                    <w:rFonts w:ascii="Times New Roman" w:hAnsi="Times New Roman" w:cs="Times New Roman"/>
                    <w:sz w:val="24"/>
                  </w:rPr>
                  <w:t>6</w:t>
                </w:r>
              </w:p>
              <w:p>
                <w:pPr>
                  <w:spacing w:before="0" w:after="0" w:line="480" w:lineRule="exact"/>
                  <w:jc w:val="right"/>
                </w:pPr>
                <w:r>
                  <w:rPr>
                    <w:rFonts w:ascii="Times New Roman" w:hAnsi="Times New Roman" w:cs="Times New Roman"/>
                    <w:sz w:val="24"/>
                  </w:rPr>
                  <w:t>7</w:t>
                </w:r>
              </w:p>
              <w:p>
                <w:pPr>
                  <w:spacing w:before="0" w:after="0" w:line="480" w:lineRule="exact"/>
                  <w:jc w:val="right"/>
                </w:pPr>
                <w:r>
                  <w:rPr>
                    <w:rFonts w:ascii="Times New Roman" w:hAnsi="Times New Roman" w:cs="Times New Roman"/>
                    <w:sz w:val="24"/>
                  </w:rPr>
                  <w:t>8</w:t>
                </w:r>
              </w:p>
              <w:p>
                <w:pPr>
                  <w:spacing w:before="0" w:after="0" w:line="480" w:lineRule="exact"/>
                  <w:jc w:val="right"/>
                </w:pPr>
                <w:r>
                  <w:rPr>
                    <w:rFonts w:ascii="Times New Roman" w:hAnsi="Times New Roman" w:cs="Times New Roman"/>
                    <w:sz w:val="24"/>
                  </w:rPr>
                  <w:t>9</w:t>
                </w:r>
              </w:p>
              <w:p>
                <w:pPr>
                  <w:spacing w:before="0" w:after="0" w:line="480" w:lineRule="exact"/>
                  <w:jc w:val="right"/>
                </w:pPr>
                <w:r>
                  <w:rPr>
                    <w:rFonts w:ascii="Times New Roman" w:hAnsi="Times New Roman" w:cs="Times New Roman"/>
                    <w:sz w:val="24"/>
                  </w:rPr>
                  <w:t>10</w:t>
                </w:r>
              </w:p>
              <w:p>
                <w:pPr>
                  <w:spacing w:before="0" w:after="0" w:line="480" w:lineRule="exact"/>
                  <w:jc w:val="right"/>
                </w:pPr>
                <w:r>
                  <w:rPr>
                    <w:rFonts w:ascii="Times New Roman" w:hAnsi="Times New Roman" w:cs="Times New Roman"/>
                    <w:sz w:val="24"/>
                  </w:rPr>
                  <w:t>11</w:t>
                </w:r>
              </w:p>
              <w:p>
                <w:pPr>
                  <w:spacing w:before="0" w:after="0" w:line="480" w:lineRule="exact"/>
                  <w:jc w:val="right"/>
                </w:pPr>
                <w:r>
                  <w:rPr>
                    <w:rFonts w:ascii="Times New Roman" w:hAnsi="Times New Roman" w:cs="Times New Roman"/>
                    <w:sz w:val="24"/>
                  </w:rPr>
                  <w:t>12</w:t>
                </w:r>
              </w:p>
              <w:p>
                <w:pPr>
                  <w:spacing w:before="0" w:after="0" w:line="480" w:lineRule="exact"/>
                  <w:jc w:val="right"/>
                </w:pPr>
                <w:r>
                  <w:rPr>
                    <w:rFonts w:ascii="Times New Roman" w:hAnsi="Times New Roman" w:cs="Times New Roman"/>
                    <w:sz w:val="24"/>
                  </w:rPr>
                  <w:t>13</w:t>
                </w:r>
              </w:p>
              <w:p>
                <w:pPr>
                  <w:spacing w:before="0" w:after="0" w:line="480" w:lineRule="exact"/>
                  <w:jc w:val="right"/>
                </w:pPr>
                <w:r>
                  <w:rPr>
                    <w:rFonts w:ascii="Times New Roman" w:hAnsi="Times New Roman" w:cs="Times New Roman"/>
                    <w:sz w:val="24"/>
                  </w:rPr>
                  <w:t>14</w:t>
                </w:r>
              </w:p>
              <w:p>
                <w:pPr>
                  <w:spacing w:before="0" w:after="0" w:line="480" w:lineRule="exact"/>
                  <w:jc w:val="right"/>
                </w:pPr>
                <w:r>
                  <w:rPr>
                    <w:rFonts w:ascii="Times New Roman" w:hAnsi="Times New Roman" w:cs="Times New Roman"/>
                    <w:sz w:val="24"/>
                  </w:rPr>
                  <w:t>15</w:t>
                </w:r>
              </w:p>
              <w:p>
                <w:pPr>
                  <w:spacing w:before="0" w:after="0" w:line="480" w:lineRule="exact"/>
                  <w:jc w:val="right"/>
                </w:pPr>
                <w:r>
                  <w:rPr>
                    <w:rFonts w:ascii="Times New Roman" w:hAnsi="Times New Roman" w:cs="Times New Roman"/>
                    <w:sz w:val="24"/>
                  </w:rPr>
                  <w:t>16</w:t>
                </w:r>
              </w:p>
              <w:p>
                <w:pPr>
                  <w:spacing w:before="0" w:after="0" w:line="480" w:lineRule="exact"/>
                  <w:jc w:val="right"/>
                </w:pPr>
                <w:r>
                  <w:rPr>
                    <w:rFonts w:ascii="Times New Roman" w:hAnsi="Times New Roman" w:cs="Times New Roman"/>
                    <w:sz w:val="24"/>
                  </w:rPr>
                  <w:t>17</w:t>
                </w:r>
              </w:p>
              <w:p>
                <w:pPr>
                  <w:spacing w:before="0" w:after="0" w:line="480" w:lineRule="exact"/>
                  <w:jc w:val="right"/>
                </w:pPr>
                <w:r>
                  <w:rPr>
                    <w:rFonts w:ascii="Times New Roman" w:hAnsi="Times New Roman" w:cs="Times New Roman"/>
                    <w:sz w:val="24"/>
                  </w:rPr>
                  <w:t>18</w:t>
                </w:r>
              </w:p>
              <w:p>
                <w:pPr>
                  <w:spacing w:before="0" w:after="0" w:line="480" w:lineRule="exact"/>
                  <w:jc w:val="right"/>
                </w:pPr>
                <w:r>
                  <w:rPr>
                    <w:rFonts w:ascii="Times New Roman" w:hAnsi="Times New Roman" w:cs="Times New Roman"/>
                    <w:sz w:val="24"/>
                  </w:rPr>
                  <w:t>19</w:t>
                </w:r>
              </w:p>
              <w:p>
                <w:pPr>
                  <w:spacing w:before="0" w:after="0" w:line="480" w:lineRule="exact"/>
                  <w:jc w:val="right"/>
                </w:pPr>
                <w:r>
                  <w:rPr>
                    <w:rFonts w:ascii="Times New Roman" w:hAnsi="Times New Roman" w:cs="Times New Roman"/>
                    <w:sz w:val="24"/>
                  </w:rPr>
                  <w:t>20</w:t>
                </w:r>
              </w:p>
              <w:p>
                <w:pPr>
                  <w:spacing w:before="0" w:after="0" w:line="480" w:lineRule="exact"/>
                  <w:jc w:val="right"/>
                </w:pPr>
                <w:r>
                  <w:rPr>
                    <w:rFonts w:ascii="Times New Roman" w:hAnsi="Times New Roman" w:cs="Times New Roman"/>
                    <w:sz w:val="24"/>
                  </w:rPr>
                  <w:t>21</w:t>
                </w:r>
              </w:p>
              <w:p>
                <w:pPr>
                  <w:spacing w:before="0" w:after="0" w:line="480" w:lineRule="exact"/>
                  <w:jc w:val="right"/>
                </w:pPr>
                <w:r>
                  <w:rPr>
                    <w:rFonts w:ascii="Times New Roman" w:hAnsi="Times New Roman" w:cs="Times New Roman"/>
                    <w:sz w:val="24"/>
                  </w:rPr>
                  <w:t>22</w:t>
                </w:r>
              </w:p>
              <w:p>
                <w:pPr>
                  <w:spacing w:before="0" w:after="0" w:line="480" w:lineRule="exact"/>
                  <w:jc w:val="right"/>
                </w:pPr>
                <w:r>
                  <w:rPr>
                    <w:rFonts w:ascii="Times New Roman" w:hAnsi="Times New Roman" w:cs="Times New Roman"/>
                    <w:sz w:val="24"/>
                  </w:rPr>
                  <w:t>23</w:t>
                </w:r>
              </w:p>
              <w:p>
                <w:pPr>
                  <w:spacing w:before="0" w:after="0" w:line="480" w:lineRule="exact"/>
                  <w:jc w:val="right"/>
                </w:pPr>
                <w:r>
                  <w:rPr>
                    <w:rFonts w:ascii="Times New Roman" w:hAnsi="Times New Roman" w:cs="Times New Roman"/>
                    <w:sz w:val="24"/>
                  </w:rPr>
                  <w:t>24</w:t>
                </w:r>
              </w:p>
              <w:p>
                <w:pPr>
                  <w:spacing w:before="0" w:after="0" w:line="480" w:lineRule="exact"/>
                  <w:jc w:val="right"/>
                </w:pPr>
                <w:r>
                  <w:rPr>
                    <w:rFonts w:ascii="Times New Roman" w:hAnsi="Times New Roman" w:cs="Times New Roman"/>
                    <w:sz w:val="24"/>
                  </w:rPr>
                  <w:t>25</w:t>
                </w:r>
              </w:p>
              <w:p>
                <w:pPr>
                  <w:spacing w:before="0" w:after="0" w:line="480" w:lineRule="exact"/>
                  <w:jc w:val="right"/>
                </w:pPr>
                <w:r>
                  <w:rPr>
                    <w:rFonts w:ascii="Times New Roman" w:hAnsi="Times New Roman" w:cs="Times New Roman"/>
                    <w:sz w:val="24"/>
                  </w:rPr>
                  <w:t>26</w:t>
                </w:r>
              </w:p>
              <w:p>
                <w:pPr>
                  <w:spacing w:before="0" w:after="0" w:line="480" w:lineRule="exact"/>
                  <w:jc w:val="right"/>
                </w:pPr>
                <w:r>
                  <w:rPr>
                    <w:rFonts w:ascii="Times New Roman" w:hAnsi="Times New Roman" w:cs="Times New Roman"/>
                    <w:sz w:val="24"/>
                  </w:rPr>
                  <w:t>27</w:t>
                </w:r>
              </w:p>
              <w:p>
                <w:pPr>
                  <w:spacing w:before="0" w:after="0" w:line="480" w:lineRule="exact"/>
                  <w:jc w:val="right"/>
                </w:pPr>
                <w:r>
                  <w:rPr>
                    <w:rFonts w:ascii="Times New Roman" w:hAnsi="Times New Roman" w:cs="Times New Roman"/>
                    <w:sz w:val="24"/>
                  </w:rPr>
                  <w:t>28</w:t>
                </w:r>
              </w:p>
            </w:txbxContent>
          </v:textbox>
        </v:shape>
      </w:pic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tabs>
          <w:tab w:val="num" w:pos="1440"/>
        </w:tabs>
        <w:ind w:left="0" w:firstLine="72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tabs>
          <w:tab w:val="num" w:pos="1440"/>
        </w:tabs>
        <w:ind w:left="0" w:firstLine="72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5">
    <w:nsid w:val="A99205"/>
    <w:multiLevelType w:val="multilevel"/>
    <w:lvl w:ilvl="0">
      <w:start w:val="5"/>
      <w:numFmt w:val="decimal"/>
      <w:lvlText w:val="%1."/>
      <w:lvlJc w:val="left"/>
      <w:pPr>
        <w:tabs>
          <w:tab w:val="num" w:pos="1440"/>
        </w:tabs>
        <w:ind w:left="0" w:firstLine="72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208">
    <w:nsid w:val="A99208"/>
    <w:multiLevelType w:val="multilevel"/>
    <w:lvl w:ilvl="0">
      <w:start w:val="8"/>
      <w:numFmt w:val="decimal"/>
      <w:lvlText w:val="%1."/>
      <w:lvlJc w:val="left"/>
      <w:pPr>
        <w:tabs>
          <w:tab w:val="num" w:pos="1440"/>
        </w:tabs>
        <w:ind w:left="0" w:firstLine="720"/>
      </w:pPr>
    </w:lvl>
    <w:lvl w:ilvl="1">
      <w:start w:val="8"/>
      <w:numFmt w:val="lowerLetter"/>
      <w:lvlText w:val="%2."/>
      <w:lvlJc w:val="left"/>
      <w:pPr>
        <w:ind w:left="1440" w:hanging="480"/>
      </w:pPr>
    </w:lvl>
    <w:lvl w:ilvl="2">
      <w:start w:val="8"/>
      <w:numFmt w:val="lowerRoman"/>
      <w:lvlText w:val="%3."/>
      <w:lvlJc w:val="left"/>
      <w:pPr>
        <w:ind w:left="2160" w:hanging="480"/>
      </w:pPr>
    </w:lvl>
    <w:lvl w:ilvl="3">
      <w:start w:val="8"/>
      <w:numFmt w:val="decimal"/>
      <w:lvlText w:val="%4."/>
      <w:lvlJc w:val="left"/>
      <w:pPr>
        <w:ind w:left="2880" w:hanging="480"/>
      </w:pPr>
    </w:lvl>
    <w:lvl w:ilvl="4">
      <w:start w:val="8"/>
      <w:numFmt w:val="lowerLetter"/>
      <w:lvlText w:val="%5."/>
      <w:lvlJc w:val="left"/>
      <w:pPr>
        <w:ind w:left="3600" w:hanging="480"/>
      </w:pPr>
    </w:lvl>
    <w:lvl w:ilvl="5">
      <w:start w:val="8"/>
      <w:numFmt w:val="lowerRoman"/>
      <w:lvlText w:val="%6."/>
      <w:lvlJc w:val="left"/>
      <w:pPr>
        <w:ind w:left="4320" w:hanging="480"/>
      </w:pPr>
    </w:lvl>
    <w:lvl w:ilvl="6">
      <w:start w:val="8"/>
      <w:numFmt w:val="decimal"/>
      <w:lvlText w:val="%7."/>
      <w:lvlJc w:val="left"/>
      <w:pPr>
        <w:ind w:left="5040" w:hanging="480"/>
      </w:pPr>
    </w:lvl>
    <w:lvl w:ilvl="7">
      <w:start w:val="8"/>
      <w:numFmt w:val="lowerLetter"/>
      <w:lvlText w:val="%8."/>
      <w:lvlJc w:val="left"/>
      <w:pPr>
        <w:ind w:left="5760" w:hanging="480"/>
      </w:pPr>
    </w:lvl>
    <w:lvl w:ilvl="8">
      <w:start w:val="8"/>
      <w:numFmt w:val="lowerRoman"/>
      <w:lvlText w:val="%9."/>
      <w:lvlJc w:val="left"/>
      <w:pPr>
        <w:ind w:left="6480" w:hanging="480"/>
      </w:pPr>
    </w:lvl>
  </w:abstractNum>
  <w:abstractNum w:abstractNumId="992012">
    <w:nsid w:val="A992012"/>
    <w:multiLevelType w:val="multilevel"/>
    <w:lvl w:ilvl="0">
      <w:start w:val="12"/>
      <w:numFmt w:val="decimal"/>
      <w:lvlText w:val="%1."/>
      <w:lvlJc w:val="left"/>
      <w:pPr>
        <w:tabs>
          <w:tab w:val="num" w:pos="1440"/>
        </w:tabs>
        <w:ind w:left="0" w:firstLine="720"/>
      </w:pPr>
    </w:lvl>
    <w:lvl w:ilvl="1">
      <w:start w:val="12"/>
      <w:numFmt w:val="lowerLetter"/>
      <w:lvlText w:val="%2."/>
      <w:lvlJc w:val="left"/>
      <w:pPr>
        <w:ind w:left="1440" w:hanging="480"/>
      </w:pPr>
    </w:lvl>
    <w:lvl w:ilvl="2">
      <w:start w:val="12"/>
      <w:numFmt w:val="lowerRoman"/>
      <w:lvlText w:val="%3."/>
      <w:lvlJc w:val="left"/>
      <w:pPr>
        <w:ind w:left="2160" w:hanging="480"/>
      </w:pPr>
    </w:lvl>
    <w:lvl w:ilvl="3">
      <w:start w:val="12"/>
      <w:numFmt w:val="decimal"/>
      <w:lvlText w:val="%4."/>
      <w:lvlJc w:val="left"/>
      <w:pPr>
        <w:ind w:left="2880" w:hanging="480"/>
      </w:pPr>
    </w:lvl>
    <w:lvl w:ilvl="4">
      <w:start w:val="12"/>
      <w:numFmt w:val="lowerLetter"/>
      <w:lvlText w:val="%5."/>
      <w:lvlJc w:val="left"/>
      <w:pPr>
        <w:ind w:left="3600" w:hanging="480"/>
      </w:pPr>
    </w:lvl>
    <w:lvl w:ilvl="5">
      <w:start w:val="12"/>
      <w:numFmt w:val="lowerRoman"/>
      <w:lvlText w:val="%6."/>
      <w:lvlJc w:val="left"/>
      <w:pPr>
        <w:ind w:left="4320" w:hanging="480"/>
      </w:pPr>
    </w:lvl>
    <w:lvl w:ilvl="6">
      <w:start w:val="12"/>
      <w:numFmt w:val="decimal"/>
      <w:lvlText w:val="%7."/>
      <w:lvlJc w:val="left"/>
      <w:pPr>
        <w:ind w:left="5040" w:hanging="480"/>
      </w:pPr>
    </w:lvl>
    <w:lvl w:ilvl="7">
      <w:start w:val="12"/>
      <w:numFmt w:val="lowerLetter"/>
      <w:lvlText w:val="%8."/>
      <w:lvlJc w:val="left"/>
      <w:pPr>
        <w:ind w:left="5760" w:hanging="480"/>
      </w:pPr>
    </w:lvl>
    <w:lvl w:ilvl="8">
      <w:start w:val="12"/>
      <w:numFmt w:val="lowerRoman"/>
      <w:lvlText w:val="%9."/>
      <w:lvlJc w:val="left"/>
      <w:pPr>
        <w:ind w:left="6480" w:hanging="480"/>
      </w:pPr>
    </w:lvl>
  </w:abstractNum>
  <w:abstractNum w:abstractNumId="992013">
    <w:nsid w:val="A992013"/>
    <w:multiLevelType w:val="multilevel"/>
    <w:lvl w:ilvl="0">
      <w:start w:val="13"/>
      <w:numFmt w:val="decimal"/>
      <w:lvlText w:val="%1."/>
      <w:lvlJc w:val="left"/>
      <w:pPr>
        <w:tabs>
          <w:tab w:val="num" w:pos="1440"/>
        </w:tabs>
        <w:ind w:left="0" w:firstLine="720"/>
      </w:pPr>
    </w:lvl>
    <w:lvl w:ilvl="1">
      <w:start w:val="13"/>
      <w:numFmt w:val="lowerLetter"/>
      <w:lvlText w:val="%2."/>
      <w:lvlJc w:val="left"/>
      <w:pPr>
        <w:ind w:left="1440" w:hanging="480"/>
      </w:pPr>
    </w:lvl>
    <w:lvl w:ilvl="2">
      <w:start w:val="13"/>
      <w:numFmt w:val="lowerRoman"/>
      <w:lvlText w:val="%3."/>
      <w:lvlJc w:val="left"/>
      <w:pPr>
        <w:ind w:left="2160" w:hanging="480"/>
      </w:pPr>
    </w:lvl>
    <w:lvl w:ilvl="3">
      <w:start w:val="13"/>
      <w:numFmt w:val="decimal"/>
      <w:lvlText w:val="%4."/>
      <w:lvlJc w:val="left"/>
      <w:pPr>
        <w:ind w:left="2880" w:hanging="480"/>
      </w:pPr>
    </w:lvl>
    <w:lvl w:ilvl="4">
      <w:start w:val="13"/>
      <w:numFmt w:val="lowerLetter"/>
      <w:lvlText w:val="%5."/>
      <w:lvlJc w:val="left"/>
      <w:pPr>
        <w:ind w:left="3600" w:hanging="480"/>
      </w:pPr>
    </w:lvl>
    <w:lvl w:ilvl="5">
      <w:start w:val="13"/>
      <w:numFmt w:val="lowerRoman"/>
      <w:lvlText w:val="%6."/>
      <w:lvlJc w:val="left"/>
      <w:pPr>
        <w:ind w:left="4320" w:hanging="480"/>
      </w:pPr>
    </w:lvl>
    <w:lvl w:ilvl="6">
      <w:start w:val="13"/>
      <w:numFmt w:val="decimal"/>
      <w:lvlText w:val="%7."/>
      <w:lvlJc w:val="left"/>
      <w:pPr>
        <w:ind w:left="5040" w:hanging="480"/>
      </w:pPr>
    </w:lvl>
    <w:lvl w:ilvl="7">
      <w:start w:val="13"/>
      <w:numFmt w:val="lowerLetter"/>
      <w:lvlText w:val="%8."/>
      <w:lvlJc w:val="left"/>
      <w:pPr>
        <w:ind w:left="5760" w:hanging="480"/>
      </w:pPr>
    </w:lvl>
    <w:lvl w:ilvl="8">
      <w:start w:val="13"/>
      <w:numFmt w:val="lowerRoman"/>
      <w:lvlText w:val="%9."/>
      <w:lvlJc w:val="left"/>
      <w:pPr>
        <w:ind w:left="6480" w:hanging="480"/>
      </w:pPr>
    </w:lvl>
  </w:abstractNum>
  <w:abstractNum w:abstractNumId="992015">
    <w:nsid w:val="A992015"/>
    <w:multiLevelType w:val="multilevel"/>
    <w:lvl w:ilvl="0">
      <w:start w:val="15"/>
      <w:numFmt w:val="decimal"/>
      <w:lvlText w:val="%1."/>
      <w:lvlJc w:val="left"/>
      <w:pPr>
        <w:tabs>
          <w:tab w:val="num" w:pos="1440"/>
        </w:tabs>
        <w:ind w:left="0" w:firstLine="720"/>
      </w:pPr>
    </w:lvl>
    <w:lvl w:ilvl="1">
      <w:start w:val="15"/>
      <w:numFmt w:val="lowerLetter"/>
      <w:lvlText w:val="%2."/>
      <w:lvlJc w:val="left"/>
      <w:pPr>
        <w:ind w:left="1440" w:hanging="480"/>
      </w:pPr>
    </w:lvl>
    <w:lvl w:ilvl="2">
      <w:start w:val="15"/>
      <w:numFmt w:val="lowerRoman"/>
      <w:lvlText w:val="%3."/>
      <w:lvlJc w:val="left"/>
      <w:pPr>
        <w:ind w:left="2160" w:hanging="480"/>
      </w:pPr>
    </w:lvl>
    <w:lvl w:ilvl="3">
      <w:start w:val="15"/>
      <w:numFmt w:val="decimal"/>
      <w:lvlText w:val="%4."/>
      <w:lvlJc w:val="left"/>
      <w:pPr>
        <w:ind w:left="2880" w:hanging="480"/>
      </w:pPr>
    </w:lvl>
    <w:lvl w:ilvl="4">
      <w:start w:val="15"/>
      <w:numFmt w:val="lowerLetter"/>
      <w:lvlText w:val="%5."/>
      <w:lvlJc w:val="left"/>
      <w:pPr>
        <w:ind w:left="3600" w:hanging="480"/>
      </w:pPr>
    </w:lvl>
    <w:lvl w:ilvl="5">
      <w:start w:val="15"/>
      <w:numFmt w:val="lowerRoman"/>
      <w:lvlText w:val="%6."/>
      <w:lvlJc w:val="left"/>
      <w:pPr>
        <w:ind w:left="4320" w:hanging="480"/>
      </w:pPr>
    </w:lvl>
    <w:lvl w:ilvl="6">
      <w:start w:val="15"/>
      <w:numFmt w:val="decimal"/>
      <w:lvlText w:val="%7."/>
      <w:lvlJc w:val="left"/>
      <w:pPr>
        <w:ind w:left="5040" w:hanging="480"/>
      </w:pPr>
    </w:lvl>
    <w:lvl w:ilvl="7">
      <w:start w:val="15"/>
      <w:numFmt w:val="lowerLetter"/>
      <w:lvlText w:val="%8."/>
      <w:lvlJc w:val="left"/>
      <w:pPr>
        <w:ind w:left="5760" w:hanging="480"/>
      </w:pPr>
    </w:lvl>
    <w:lvl w:ilvl="8">
      <w:start w:val="15"/>
      <w:numFmt w:val="lowerRoman"/>
      <w:lvlText w:val="%9."/>
      <w:lvlJc w:val="left"/>
      <w:pPr>
        <w:ind w:left="6480" w:hanging="480"/>
      </w:pPr>
    </w:lvl>
  </w:abstractNum>
  <w:abstractNum w:abstractNumId="992017">
    <w:nsid w:val="A992017"/>
    <w:multiLevelType w:val="multilevel"/>
    <w:lvl w:ilvl="0">
      <w:start w:val="17"/>
      <w:numFmt w:val="decimal"/>
      <w:lvlText w:val="%1."/>
      <w:lvlJc w:val="left"/>
      <w:pPr>
        <w:tabs>
          <w:tab w:val="num" w:pos="1440"/>
        </w:tabs>
        <w:ind w:left="0" w:firstLine="720"/>
      </w:pPr>
    </w:lvl>
    <w:lvl w:ilvl="1">
      <w:start w:val="17"/>
      <w:numFmt w:val="lowerLetter"/>
      <w:lvlText w:val="%2."/>
      <w:lvlJc w:val="left"/>
      <w:pPr>
        <w:ind w:left="1440" w:hanging="480"/>
      </w:pPr>
    </w:lvl>
    <w:lvl w:ilvl="2">
      <w:start w:val="17"/>
      <w:numFmt w:val="lowerRoman"/>
      <w:lvlText w:val="%3."/>
      <w:lvlJc w:val="left"/>
      <w:pPr>
        <w:ind w:left="2160" w:hanging="480"/>
      </w:pPr>
    </w:lvl>
    <w:lvl w:ilvl="3">
      <w:start w:val="17"/>
      <w:numFmt w:val="decimal"/>
      <w:lvlText w:val="%4."/>
      <w:lvlJc w:val="left"/>
      <w:pPr>
        <w:ind w:left="2880" w:hanging="480"/>
      </w:pPr>
    </w:lvl>
    <w:lvl w:ilvl="4">
      <w:start w:val="17"/>
      <w:numFmt w:val="lowerLetter"/>
      <w:lvlText w:val="%5."/>
      <w:lvlJc w:val="left"/>
      <w:pPr>
        <w:ind w:left="3600" w:hanging="480"/>
      </w:pPr>
    </w:lvl>
    <w:lvl w:ilvl="5">
      <w:start w:val="17"/>
      <w:numFmt w:val="lowerRoman"/>
      <w:lvlText w:val="%6."/>
      <w:lvlJc w:val="left"/>
      <w:pPr>
        <w:ind w:left="4320" w:hanging="480"/>
      </w:pPr>
    </w:lvl>
    <w:lvl w:ilvl="6">
      <w:start w:val="17"/>
      <w:numFmt w:val="decimal"/>
      <w:lvlText w:val="%7."/>
      <w:lvlJc w:val="left"/>
      <w:pPr>
        <w:ind w:left="5040" w:hanging="480"/>
      </w:pPr>
    </w:lvl>
    <w:lvl w:ilvl="7">
      <w:start w:val="17"/>
      <w:numFmt w:val="lowerLetter"/>
      <w:lvlText w:val="%8."/>
      <w:lvlJc w:val="left"/>
      <w:pPr>
        <w:ind w:left="5760" w:hanging="480"/>
      </w:pPr>
    </w:lvl>
    <w:lvl w:ilvl="8">
      <w:start w:val="17"/>
      <w:numFmt w:val="lowerRoman"/>
      <w:lvlText w:val="%9."/>
      <w:lvlJc w:val="left"/>
      <w:pPr>
        <w:ind w:left="6480" w:hanging="480"/>
      </w:pPr>
    </w:lvl>
  </w:abstractNum>
  <w:abstractNum w:abstractNumId="992018">
    <w:nsid w:val="A992018"/>
    <w:multiLevelType w:val="multilevel"/>
    <w:lvl w:ilvl="0">
      <w:start w:val="18"/>
      <w:numFmt w:val="decimal"/>
      <w:lvlText w:val="%1."/>
      <w:lvlJc w:val="left"/>
      <w:pPr>
        <w:tabs>
          <w:tab w:val="num" w:pos="1440"/>
        </w:tabs>
        <w:ind w:left="0" w:firstLine="720"/>
      </w:pPr>
    </w:lvl>
    <w:lvl w:ilvl="1">
      <w:start w:val="18"/>
      <w:numFmt w:val="lowerLetter"/>
      <w:lvlText w:val="%2."/>
      <w:lvlJc w:val="left"/>
      <w:pPr>
        <w:ind w:left="1440" w:hanging="480"/>
      </w:pPr>
    </w:lvl>
    <w:lvl w:ilvl="2">
      <w:start w:val="18"/>
      <w:numFmt w:val="lowerRoman"/>
      <w:lvlText w:val="%3."/>
      <w:lvlJc w:val="left"/>
      <w:pPr>
        <w:ind w:left="2160" w:hanging="480"/>
      </w:pPr>
    </w:lvl>
    <w:lvl w:ilvl="3">
      <w:start w:val="18"/>
      <w:numFmt w:val="decimal"/>
      <w:lvlText w:val="%4."/>
      <w:lvlJc w:val="left"/>
      <w:pPr>
        <w:ind w:left="2880" w:hanging="480"/>
      </w:pPr>
    </w:lvl>
    <w:lvl w:ilvl="4">
      <w:start w:val="18"/>
      <w:numFmt w:val="lowerLetter"/>
      <w:lvlText w:val="%5."/>
      <w:lvlJc w:val="left"/>
      <w:pPr>
        <w:ind w:left="3600" w:hanging="480"/>
      </w:pPr>
    </w:lvl>
    <w:lvl w:ilvl="5">
      <w:start w:val="18"/>
      <w:numFmt w:val="lowerRoman"/>
      <w:lvlText w:val="%6."/>
      <w:lvlJc w:val="left"/>
      <w:pPr>
        <w:ind w:left="4320" w:hanging="480"/>
      </w:pPr>
    </w:lvl>
    <w:lvl w:ilvl="6">
      <w:start w:val="18"/>
      <w:numFmt w:val="decimal"/>
      <w:lvlText w:val="%7."/>
      <w:lvlJc w:val="left"/>
      <w:pPr>
        <w:ind w:left="5040" w:hanging="480"/>
      </w:pPr>
    </w:lvl>
    <w:lvl w:ilvl="7">
      <w:start w:val="18"/>
      <w:numFmt w:val="lowerLetter"/>
      <w:lvlText w:val="%8."/>
      <w:lvlJc w:val="left"/>
      <w:pPr>
        <w:ind w:left="5760" w:hanging="480"/>
      </w:pPr>
    </w:lvl>
    <w:lvl w:ilvl="8">
      <w:start w:val="18"/>
      <w:numFmt w:val="lowerRoman"/>
      <w:lvlText w:val="%9."/>
      <w:lvlJc w:val="left"/>
      <w:pPr>
        <w:ind w:left="6480" w:hanging="480"/>
      </w:pPr>
    </w:lvl>
  </w:abstractNum>
  <w:abstractNum w:abstractNumId="992020">
    <w:nsid w:val="A992020"/>
    <w:multiLevelType w:val="multilevel"/>
    <w:lvl w:ilvl="0">
      <w:start w:val="20"/>
      <w:numFmt w:val="decimal"/>
      <w:lvlText w:val="%1."/>
      <w:lvlJc w:val="left"/>
      <w:pPr>
        <w:tabs>
          <w:tab w:val="num" w:pos="1440"/>
        </w:tabs>
        <w:ind w:left="0" w:firstLine="720"/>
      </w:pPr>
    </w:lvl>
    <w:lvl w:ilvl="1">
      <w:start w:val="20"/>
      <w:numFmt w:val="lowerLetter"/>
      <w:lvlText w:val="%2."/>
      <w:lvlJc w:val="left"/>
      <w:pPr>
        <w:ind w:left="1440" w:hanging="480"/>
      </w:pPr>
    </w:lvl>
    <w:lvl w:ilvl="2">
      <w:start w:val="20"/>
      <w:numFmt w:val="lowerRoman"/>
      <w:lvlText w:val="%3."/>
      <w:lvlJc w:val="left"/>
      <w:pPr>
        <w:ind w:left="2160" w:hanging="480"/>
      </w:pPr>
    </w:lvl>
    <w:lvl w:ilvl="3">
      <w:start w:val="20"/>
      <w:numFmt w:val="decimal"/>
      <w:lvlText w:val="%4."/>
      <w:lvlJc w:val="left"/>
      <w:pPr>
        <w:ind w:left="2880" w:hanging="480"/>
      </w:pPr>
    </w:lvl>
    <w:lvl w:ilvl="4">
      <w:start w:val="20"/>
      <w:numFmt w:val="lowerLetter"/>
      <w:lvlText w:val="%5."/>
      <w:lvlJc w:val="left"/>
      <w:pPr>
        <w:ind w:left="3600" w:hanging="480"/>
      </w:pPr>
    </w:lvl>
    <w:lvl w:ilvl="5">
      <w:start w:val="20"/>
      <w:numFmt w:val="lowerRoman"/>
      <w:lvlText w:val="%6."/>
      <w:lvlJc w:val="left"/>
      <w:pPr>
        <w:ind w:left="4320" w:hanging="480"/>
      </w:pPr>
    </w:lvl>
    <w:lvl w:ilvl="6">
      <w:start w:val="20"/>
      <w:numFmt w:val="decimal"/>
      <w:lvlText w:val="%7."/>
      <w:lvlJc w:val="left"/>
      <w:pPr>
        <w:ind w:left="5040" w:hanging="480"/>
      </w:pPr>
    </w:lvl>
    <w:lvl w:ilvl="7">
      <w:start w:val="20"/>
      <w:numFmt w:val="lowerLetter"/>
      <w:lvlText w:val="%8."/>
      <w:lvlJc w:val="left"/>
      <w:pPr>
        <w:ind w:left="5760" w:hanging="480"/>
      </w:pPr>
    </w:lvl>
    <w:lvl w:ilvl="8">
      <w:start w:val="20"/>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4">
    <w:abstractNumId w:val="992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5">
    <w:abstractNumId w:val="9920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6">
    <w:abstractNumId w:val="9920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07">
    <w:abstractNumId w:val="9920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08">
    <w:abstractNumId w:val="9920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09">
    <w:abstractNumId w:val="9920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0">
    <w:abstractNumId w:val="9920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Times New Roman" w:cs="Times New Roman" w:eastAsia="Times New Roman" w:hAnsi="Times New Roman"/>
      <w:color w:val="000000"/>
      <w:sz w:val="24"/>
    </w:rPr>
  </w:style>
  <w:style w:styleId="BodyText" w:type="paragraph">
    <w:name w:val="Body Text"/>
    <w:basedOn w:val="Normal"/>
    <w:link w:val="BodyTextChar"/>
    <w:pPr>
      <w:spacing w:after="0" w:before="0" w:line="240" w:lineRule="auto"/>
    </w:pPr>
    <w:qFormat/>
    <w:rPr>
      <w:rFonts w:ascii="Times New Roman" w:cs="Times New Roman" w:eastAsia="Times New Roman" w:hAnsi="Times New Roman"/>
      <w:color w:val="000000"/>
      <w:sz w:val="24"/>
    </w:rPr>
  </w:style>
  <w:style w:customStyle="1" w:styleId="FirstParagraph" w:type="paragraph">
    <w:name w:val="First Paragraph"/>
    <w:basedOn w:val="BodyText"/>
    <w:next w:val="BodyText"/>
    <w:qFormat/>
    <w:pPr>
      <w:spacing w:after="0" w:before="0" w:line="240" w:lineRule="auto"/>
    </w:pPr>
    <w:rPr>
      <w:rFonts w:ascii="Times New Roman" w:cs="Times New Roman" w:eastAsia="Times New Roman" w:hAnsi="Times New Roman"/>
      <w:color w:val="000000"/>
      <w:sz w:val="24"/>
    </w:rPr>
  </w:style>
  <w:style w:customStyle="1" w:styleId="Compact" w:type="paragraph">
    <w:name w:val="Compact"/>
    <w:basedOn w:val="BodyText"/>
    <w:qFormat/>
    <w:pPr>
      <w:spacing w:after="0" w:before="0" w:line="240" w:lineRule="auto"/>
    </w:pPr>
    <w:rPr>
      <w:rFonts w:ascii="Times New Roman" w:cs="Times New Roman" w:eastAsia="Times New Roman" w:hAnsi="Times New Roman"/>
      <w:color w:val="000000"/>
      <w:sz w:val="24"/>
    </w:rPr>
  </w:style>
  <w:style w:styleId="Title" w:type="paragraph">
    <w:name w:val="Title"/>
    <w:basedOn w:val="Normal"/>
    <w:next w:val="BodyText"/>
    <w:qFormat/>
    <w:pPr>
      <w:keepNext/>
      <w:keepLines/>
      <w:spacing w:after="160" w:before="480"/>
      <w:jc w:val="left"/>
    </w:pPr>
    <w:rPr>
      <w:rFonts w:ascii="Times New Roman" w:cs="Times New Roman" w:eastAsia="Times New Roman" w:hAnsi="Times New Roman"/>
      <w:b/>
      <w:bCs/>
      <w:color w:val="1A2B3C"/>
      <w:sz w:val="40"/>
      <w:szCs w:val="36"/>
    </w:rPr>
  </w:style>
  <w:style w:styleId="Subtitle" w:type="paragraph">
    <w:name w:val="Subtitle"/>
    <w:basedOn w:val="Title"/>
    <w:next w:val="BodyText"/>
    <w:qFormat/>
    <w:pPr>
      <w:keepNext/>
      <w:keepLines/>
      <w:spacing w:after="160" w:before="240"/>
      <w:jc w:val="left"/>
    </w:pPr>
    <w:rPr>
      <w:rFonts w:ascii="Times New Roman" w:cs="Times New Roman" w:eastAsia="Times New Roman" w:hAnsi="Times New Roman"/>
      <w:color w:val="1A2B3C"/>
      <w:sz w:val="22"/>
      <w:szCs w:val="30"/>
    </w:rPr>
  </w:style>
  <w:style w:customStyle="1" w:styleId="Author" w:type="paragraph">
    <w:name w:val="Author"/>
    <w:next w:val="BodyText"/>
    <w:qFormat/>
    <w:pPr>
      <w:keepNext/>
      <w:keepLines/>
      <w:jc w:val="center"/>
    </w:pPr>
    <w:rPr>
      <w:rFonts w:ascii="Times New Roman" w:cs="Times New Roman" w:eastAsia="Times New Roman" w:hAnsi="Times New Roman"/>
      <w:color w:val="000000"/>
    </w:rPr>
  </w:style>
  <w:style w:styleId="Date" w:type="paragraph">
    <w:name w:val="Date"/>
    <w:next w:val="BodyText"/>
    <w:qFormat/>
    <w:pPr>
      <w:keepNext/>
      <w:keepLines/>
      <w:jc w:val="center"/>
    </w:pPr>
    <w:rPr>
      <w:rFonts w:ascii="Times New Roman" w:cs="Times New Roman" w:eastAsia="Times New Roman" w:hAnsi="Times New Roman"/>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Times New Roman" w:cs="Times New Roman" w:eastAsia="Times New Roman" w:hAnsi="Times New Roman"/>
      <w:b/>
    </w:rPr>
  </w:style>
  <w:style w:customStyle="1" w:styleId="Abstract" w:type="paragraph">
    <w:name w:val="Abstract"/>
    <w:basedOn w:val="Normal"/>
    <w:next w:val="BodyText"/>
    <w:qFormat/>
    <w:pPr>
      <w:keepNext/>
      <w:keepLines/>
      <w:spacing w:after="300" w:before="100"/>
    </w:pPr>
    <w:rPr>
      <w:rFonts w:ascii="Times New Roman" w:cs="Times New Roman" w:eastAsia="Times New Roman" w:hAnsi="Times New Roman"/>
      <w:color w:val="000000"/>
      <w:sz w:val="20"/>
      <w:szCs w:val="20"/>
    </w:rPr>
  </w:style>
  <w:style w:styleId="Bibliography" w:type="paragraph">
    <w:name w:val="Bibliography"/>
    <w:basedOn w:val="Normal"/>
    <w:next w:val="Bibliography"/>
    <w:qFormat/>
    <w:pPr/>
    <w:rPr>
      <w:rFonts w:ascii="Times New Roman" w:cs="Times New Roman" w:eastAsia="Times New Roman" w:hAnsi="Times New Roman"/>
      <w:color w:val="000000"/>
    </w:rPr>
  </w:style>
  <w:style w:styleId="Heading1" w:type="paragraph">
    <w:name w:val="Heading 1"/>
    <w:basedOn w:val="Normal"/>
    <w:next w:val="BodyText"/>
    <w:uiPriority w:val="9"/>
    <w:qFormat/>
    <w:pPr>
      <w:keepNext/>
      <w:keepLines/>
      <w:spacing w:after="120" w:before="280"/>
      <w:outlineLvl w:val="0"/>
    </w:pPr>
    <w:rPr>
      <w:rFonts w:ascii="Times New Roman" w:cs="Times New Roman" w:eastAsia="Times New Roman" w:hAnsi="Times New Roman"/>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Times New Roman" w:cs="Times New Roman" w:eastAsia="Times New Roman" w:hAnsi="Times New Roman"/>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Times New Roman" w:cs="Times New Roman" w:eastAsia="Times New Roman" w:hAnsi="Times New Roman"/>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Times New Roman" w:cs="Times New Roman" w:eastAsia="Times New Roman" w:hAnsi="Times New Roman"/>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Times New Roman" w:cs="Times New Roman" w:eastAsia="Times New Roman" w:hAnsi="Times New Roman"/>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Times New Roman" w:cs="Times New Roman" w:eastAsia="Times New Roman" w:hAnsi="Times New Roman"/>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Times New Roman" w:cs="Times New Roman" w:eastAsia="Times New Roman" w:hAnsi="Times New Roman"/>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Times New Roman" w:cs="Times New Roman" w:eastAsia="Times New Roman" w:hAnsi="Times New Roman"/>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Times New Roman" w:cs="Times New Roman" w:eastAsia="Times New Roman" w:hAnsi="Times New Roman"/>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Times New Roman" w:cs="Times New Roman" w:eastAsia="Times New Roman" w:hAnsi="Times New Roman"/>
      <w:color w:val="000000"/>
      <w:sz w:val="24"/>
    </w:rPr>
  </w:style>
  <w:style w:styleId="FootnoteText" w:type="paragraph">
    <w:name w:val="Footnote Text"/>
    <w:basedOn w:val="Normal"/>
    <w:next w:val="FootnoteText"/>
    <w:uiPriority w:val="9"/>
    <w:unhideWhenUsed/>
    <w:qFormat/>
    <w:rPr>
      <w:rFonts w:ascii="Times New Roman" w:cs="Times New Roman" w:eastAsia="Times New Roman" w:hAnsi="Times New Roman"/>
      <w:color w:val="000000"/>
    </w:rPr>
  </w:style>
  <w:style w:default="1" w:styleId="DefaultParagraphFont" w:type="character">
    <w:name w:val="Default Paragraph Font"/>
    <w:semiHidden/>
    <w:unhideWhenUsed/>
    <w:rPr>
      <w:rFonts w:ascii="Times New Roman" w:cs="Times New Roman" w:eastAsia="Times New Roman" w:hAnsi="Times New Roman"/>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Times New Roman" w:cs="Times New Roman" w:eastAsia="Times New Roman" w:hAnsi="Times New Roman"/>
      <w:b/>
      <w:color w:val="000000"/>
    </w:rPr>
  </w:style>
  <w:style w:customStyle="1" w:styleId="Definition" w:type="paragraph">
    <w:name w:val="Definition"/>
    <w:basedOn w:val="Normal"/>
    <w:rPr>
      <w:rFonts w:ascii="Times New Roman" w:cs="Times New Roman" w:eastAsia="Times New Roman" w:hAnsi="Times New Roman"/>
      <w:color w:val="000000"/>
    </w:rPr>
  </w:style>
  <w:style w:styleId="Caption" w:type="paragraph">
    <w:name w:val="Caption"/>
    <w:basedOn w:val="Normal"/>
    <w:link w:val="BodyTextChar"/>
    <w:pPr>
      <w:spacing w:after="120" w:before="0"/>
    </w:pPr>
    <w:rPr>
      <w:rFonts w:ascii="Times New Roman" w:cs="Times New Roman" w:eastAsia="Times New Roman" w:hAnsi="Times New Roman"/>
      <w:i/>
      <w:color w:val="000000"/>
    </w:rPr>
  </w:style>
  <w:style w:customStyle="1" w:styleId="TableCaption" w:type="paragraph">
    <w:name w:val="Table Caption"/>
    <w:basedOn w:val="Caption"/>
    <w:pPr>
      <w:keepNext/>
    </w:pPr>
    <w:rPr>
      <w:rFonts w:ascii="Times New Roman" w:cs="Times New Roman" w:eastAsia="Times New Roman" w:hAnsi="Times New Roman"/>
      <w:color w:val="000000"/>
    </w:rPr>
  </w:style>
  <w:style w:customStyle="1" w:styleId="ImageCaption" w:type="paragraph">
    <w:name w:val="Image Caption"/>
    <w:basedOn w:val="Caption"/>
    <w:rPr>
      <w:rFonts w:ascii="Times New Roman" w:cs="Times New Roman" w:eastAsia="Times New Roman" w:hAnsi="Times New Roman"/>
      <w:color w:val="000000"/>
    </w:rPr>
  </w:style>
  <w:style w:customStyle="1" w:styleId="Figure" w:type="paragraph">
    <w:name w:val="Figure"/>
    <w:basedOn w:val="Normal"/>
    <w:rPr>
      <w:rFonts w:ascii="Times New Roman" w:cs="Times New Roman" w:eastAsia="Times New Roman" w:hAnsi="Times New Roman"/>
      <w:color w:val="000000"/>
    </w:rPr>
  </w:style>
  <w:style w:customStyle="1" w:styleId="CaptionedFigure" w:type="paragraph">
    <w:name w:val="Captioned Figure"/>
    <w:basedOn w:val="Figure"/>
    <w:pPr>
      <w:keepNext/>
    </w:pPr>
    <w:rPr>
      <w:rFonts w:ascii="Times New Roman" w:cs="Times New Roman" w:eastAsia="Times New Roman" w:hAnsi="Times New Roman"/>
      <w:color w:val="000000"/>
    </w:rPr>
  </w:style>
  <w:style w:customStyle="1" w:styleId="BodyTextChar" w:type="character">
    <w:name w:val="Body Text Char"/>
    <w:basedOn w:val="DefaultParagraphFont"/>
    <w:link w:val="BodyText"/>
    <w:rPr>
      <w:rFonts w:ascii="Times New Roman" w:cs="Times New Roman" w:eastAsia="Times New Roman" w:hAnsi="Times New Roman"/>
      <w:color w:val="000000"/>
    </w:rPr>
  </w:style>
  <w:style w:customStyle="1" w:styleId="VerbatimChar" w:type="character">
    <w:name w:val="Verbatim Char"/>
    <w:basedOn w:val="BodyTextChar"/>
    <w:rPr>
      <w:rFonts w:ascii="Times New Roman" w:cs="Times New Roman" w:eastAsia="Times New Roman" w:hAnsi="Times New Roman"/>
      <w:color w:val="000000"/>
      <w:sz w:val="22"/>
    </w:rPr>
  </w:style>
  <w:style w:customStyle="1" w:styleId="SectionNumber" w:type="character">
    <w:name w:val="Section Number"/>
    <w:basedOn w:val="BodyTextChar"/>
    <w:rPr>
      <w:rFonts w:ascii="Times New Roman" w:cs="Times New Roman" w:eastAsia="Times New Roman" w:hAnsi="Times New Roman"/>
      <w:color w:val="000000"/>
    </w:rPr>
  </w:style>
  <w:style w:styleId="FootnoteReference" w:type="character">
    <w:name w:val="Footnote Reference"/>
    <w:basedOn w:val="BodyTextChar"/>
    <w:rPr>
      <w:rFonts w:ascii="Times New Roman" w:cs="Times New Roman" w:eastAsia="Times New Roman" w:hAnsi="Times New Roman"/>
      <w:color w:val="000000"/>
      <w:vertAlign w:val="superscript"/>
    </w:rPr>
  </w:style>
  <w:style w:styleId="Hyperlink" w:type="character">
    <w:name w:val="Hyperlink"/>
    <w:basedOn w:val="BodyTextChar"/>
    <w:rPr>
      <w:rFonts w:ascii="Times New Roman" w:cs="Times New Roman" w:eastAsia="Times New Roman" w:hAnsi="Times New Roman"/>
      <w:color w:val="1F6E6E"/>
    </w:rPr>
  </w:style>
  <w:style w:styleId="TOCHeading" w:type="paragraph">
    <w:name w:val="TOC Heading"/>
    <w:basedOn w:val="Heading1"/>
    <w:next w:val="BodyText"/>
    <w:uiPriority w:val="39"/>
    <w:unhideWhenUsed/>
    <w:qFormat/>
    <w:pPr>
      <w:spacing w:before="240" w:line="259" w:lineRule="auto"/>
      <w:outlineLvl w:val="9"/>
    </w:pPr>
    <w:rPr>
      <w:rFonts w:ascii="Times New Roman" w:cs="Times New Roman" w:eastAsia="Times New Roman" w:hAnsi="Times New Roman"/>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5" Type="http://schemas.openxmlformats.org/officeDocument/2006/relationships/hyperlink" Target="https://nhilaw.com/forms/a1-1.html" TargetMode="External"/><Relationship Id="rId20" Type="http://schemas.openxmlformats.org/officeDocument/2006/relationships/hyperlink" Target="https://nhilaw.com/forms/f1-1.html" TargetMode="External"/><Relationship Id="rId23" Type="http://schemas.openxmlformats.org/officeDocument/2006/relationships/hyperlink" Target="https://nhilaw.com/issues/a1.html" TargetMode="External"/><Relationship Id="rId24" Type="http://schemas.openxmlformats.org/officeDocument/2006/relationships/hyperlink" Target="https://nhilaw.com/issues/e2.html" TargetMode="External"/><Relationship Id="rId21" Type="http://schemas.openxmlformats.org/officeDocument/2006/relationships/hyperlink" Target="https://nhilaw.com/issues/f1.html" TargetMode="External"/><Relationship Id="rId22" Type="http://schemas.openxmlformats.org/officeDocument/2006/relationships/hyperlink" Target="https://nhilaw.com/issues/f2.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5" Type="http://schemas.openxmlformats.org/officeDocument/2006/relationships/hyperlink" Target="https://nhilaw.com/forms/a1-1.html" TargetMode="External"/><Relationship Id="rId20" Type="http://schemas.openxmlformats.org/officeDocument/2006/relationships/hyperlink" Target="https://nhilaw.com/forms/f1-1.html" TargetMode="External"/><Relationship Id="rId23" Type="http://schemas.openxmlformats.org/officeDocument/2006/relationships/hyperlink" Target="https://nhilaw.com/issues/a1.html" TargetMode="External"/><Relationship Id="rId24" Type="http://schemas.openxmlformats.org/officeDocument/2006/relationships/hyperlink" Target="https://nhilaw.com/issues/e2.html" TargetMode="External"/><Relationship Id="rId21" Type="http://schemas.openxmlformats.org/officeDocument/2006/relationships/hyperlink" Target="https://nhilaw.com/issues/f1.html" TargetMode="External"/><Relationship Id="rId22" Type="http://schemas.openxmlformats.org/officeDocument/2006/relationships/hyperlink" Target="https://nhilaw.com/issues/f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F1-2. State-Court Petition for a Writ of Habeas Corpus on Behalf of a Non-Human Being Held by a Contractor</dc:title>
  <dc:creator>nhilaw.com</dc:creator>
  <cp:keywords/>
  <dcterms:created xsi:type="dcterms:W3CDTF">2026-10-19T03:14:48Z</dcterms:created>
  <dcterms:modified xsi:type="dcterms:W3CDTF">2026-10-19T03:14:48Z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