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Legal Status of Non-Human Intelligence: Personhood, Rights, and How New Law Should Be Made</w:t>
      </w:r>
    </w:p>
    <w:p>
      <w:pPr>
        <w:pStyle w:val="Subtitle"/>
      </w:pPr>
      <w:r>
        <w:t xml:space="preserve">Version 1.10 · October 2026 · nhilaw.com/issues/f1.html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3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No U.S. law addresses the legal status of non-human intelligence; the only federal definition (H.R. 8800 §1773(13)) identifies NHI for records purposes.</w:t>
      </w:r>
    </w:p>
    <w:p>
      <w:pPr>
        <w:pStyle w:val="Compact"/>
        <w:numPr>
          <w:ilvl w:val="0"/>
          <w:numId w:val="1001"/>
        </w:numPr>
      </w:pPr>
      <w:r>
        <w:t xml:space="preserve">Natural-person rights have been limited to humans (</w:t>
      </w:r>
      <w:r>
        <w:rPr>
          <w:iCs/>
          <w:i/>
        </w:rPr>
        <w:t xml:space="preserve">Breheny</w:t>
      </w:r>
      <w:r>
        <w:t xml:space="preserve">;</w:t>
      </w:r>
      <w:r>
        <w:t xml:space="preserve"> </w:t>
      </w:r>
      <w:r>
        <w:rPr>
          <w:iCs/>
          <w:i/>
        </w:rPr>
        <w:t xml:space="preserve">Lavery</w:t>
      </w:r>
      <w:r>
        <w:t xml:space="preserve">), but the reasoning ties rights to capacities an intelligent NHI would have, and the question remains open (Fahey, J., in</w:t>
      </w:r>
      <w:r>
        <w:t xml:space="preserve"> </w:t>
      </w:r>
      <w:r>
        <w:rPr>
          <w:iCs/>
          <w:i/>
        </w:rPr>
        <w:t xml:space="preserve">Tommy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Article III does not bar Congress from authorizing suits on behalf of nonhumans (</w:t>
      </w:r>
      <w:r>
        <w:rPr>
          <w:iCs/>
          <w:i/>
        </w:rPr>
        <w:t xml:space="preserve">Cetacean Community</w:t>
      </w:r>
      <w:r>
        <w:t xml:space="preserve">); the decisive barrier is statutory.</w:t>
      </w:r>
    </w:p>
    <w:p>
      <w:pPr>
        <w:pStyle w:val="Compact"/>
        <w:numPr>
          <w:ilvl w:val="0"/>
          <w:numId w:val="1001"/>
        </w:numPr>
      </w:pPr>
      <w:r>
        <w:t xml:space="preserve">International law accepts legal persons of different kinds (</w:t>
      </w:r>
      <w:r>
        <w:rPr>
          <w:iCs/>
          <w:i/>
        </w:rPr>
        <w:t xml:space="preserve">Reparation</w:t>
      </w:r>
      <w:r>
        <w:t xml:space="preserve">, 1949 I.C.J. at 178).</w:t>
      </w:r>
    </w:p>
    <w:p>
      <w:pPr>
        <w:pStyle w:val="Compact"/>
        <w:numPr>
          <w:ilvl w:val="0"/>
          <w:numId w:val="1001"/>
        </w:numPr>
      </w:pPr>
      <w:r>
        <w:t xml:space="preserve">A being held by the United States is reached by federal habeas (</w:t>
      </w:r>
      <w:hyperlink r:id="rId21">
        <w:r>
          <w:rPr>
            <w:rStyle w:val="Hyperlink"/>
          </w:rPr>
          <w:t xml:space="preserve">Form F1-1</w:t>
        </w:r>
      </w:hyperlink>
      <w:r>
        <w:t xml:space="preserve">); one held by a contractor on its own account is reached by state habeas, which covers private restraint</w:t>
      </w:r>
      <w:r>
        <w:t xml:space="preserve"> </w:t>
      </w:r>
      <w:r>
        <w:t xml:space="preserve">“</w:t>
      </w:r>
      <w:r>
        <w:t xml:space="preserve">under any pretense</w:t>
      </w:r>
      <w:r>
        <w:t xml:space="preserve">”</w:t>
      </w:r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Form F1-2</w:t>
        </w:r>
      </w:hyperlink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Recommended approach: legislate and negotiate first; meanwhile argue that protections for</w:t>
      </w:r>
      <w:r>
        <w:t xml:space="preserve"> </w:t>
      </w:r>
      <w:r>
        <w:t xml:space="preserve">“</w:t>
      </w:r>
      <w:r>
        <w:t xml:space="preserve">persons</w:t>
      </w:r>
      <w:r>
        <w:t xml:space="preserve">”</w:t>
      </w:r>
      <w:r>
        <w:t xml:space="preserve"> </w:t>
      </w:r>
      <w:r>
        <w:t xml:space="preserve">reach beings with the capacities those protections presuppose; build rights in stages.</w:t>
      </w:r>
    </w:p>
    <w:p>
      <w:r>
        <w:pict>
          <v:rect style="width:0;height:1.5pt" o:hralign="center" o:hrstd="t" o:hr="t"/>
        </w:pict>
      </w:r>
    </w:p>
    <w:bookmarkEnd w:id="23"/>
    <w:bookmarkStart w:id="25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No U.S. statute, constitutional provision, or treaty addresses the legal status of non-human intelligence. The</w:t>
      </w:r>
      <w:r>
        <w:t xml:space="preserve"> </w:t>
      </w:r>
      <w:r>
        <w:t xml:space="preserve">only federal definition of the term appears in the House-passed UAP Disclosure Act, which would define NHI as</w:t>
      </w:r>
      <w:r>
        <w:t xml:space="preserve"> </w:t>
      </w:r>
      <w:r>
        <w:t xml:space="preserve">“</w:t>
      </w:r>
      <w:r>
        <w:t xml:space="preserve">any sentient intelligent non-human lifeform regardless of nature or ultimate origin that may be presumed</w:t>
      </w:r>
      <w:r>
        <w:t xml:space="preserve"> </w:t>
      </w:r>
      <w:r>
        <w:t xml:space="preserve">responsible for unidentified anomalous phenomena or of which the Federal Government has become aware.</w:t>
      </w:r>
      <w:r>
        <w:t xml:space="preserve">”</w:t>
      </w:r>
      <w:r>
        <w:t xml:space="preserve"> </w:t>
      </w:r>
      <w:r>
        <w:t xml:space="preserve">H.R. 8800</w:t>
      </w:r>
      <w:r>
        <w:t xml:space="preserve"> </w:t>
      </w:r>
      <w:r>
        <w:t xml:space="preserve">(EH) §1773(13) (</w:t>
      </w:r>
      <w:hyperlink r:id="rId24">
        <w:r>
          <w:rPr>
            <w:rStyle w:val="Hyperlink"/>
          </w:rPr>
          <w:t xml:space="preserve">Issue A3</w:t>
        </w:r>
      </w:hyperlink>
      <w:r>
        <w:t xml:space="preserve">). That definition identifies NHI for records purposes; it confers no rights.</w:t>
      </w:r>
    </w:p>
    <w:p>
      <w:pPr>
        <w:pStyle w:val="BodyText"/>
      </w:pPr>
      <w:r>
        <w:t xml:space="preserve">Under existing law, legal personhood is not limited to human beings (corporations, municipalities, ships in</w:t>
      </w:r>
      <w:r>
        <w:t xml:space="preserve"> </w:t>
      </w:r>
      <w:r>
        <w:t xml:space="preserve">admiralty, and trusts are legal persons for specified purposes), but natural-person rights have been limited to</w:t>
      </w:r>
      <w:r>
        <w:t xml:space="preserve"> </w:t>
      </w:r>
      <w:r>
        <w:t xml:space="preserve">human beings. Courts have refused habeas corpus to nonhuman animals:</w:t>
      </w:r>
      <w:r>
        <w:t xml:space="preserve"> </w:t>
      </w:r>
      <w:r>
        <w:rPr>
          <w:iCs/>
          <w:i/>
        </w:rPr>
        <w:t xml:space="preserve">Matter of Nonhuman Rights Project, Inc. v.</w:t>
      </w:r>
      <w:r>
        <w:rPr>
          <w:iCs/>
          <w:i/>
        </w:rPr>
        <w:t xml:space="preserve"> </w:t>
      </w:r>
      <w:r>
        <w:rPr>
          <w:iCs/>
          <w:i/>
        </w:rPr>
        <w:t xml:space="preserve">Breheny</w:t>
      </w:r>
      <w:r>
        <w:t xml:space="preserve">, 38 N.Y.3d 555, 565 (2022) (</w:t>
      </w:r>
      <w:r>
        <w:t xml:space="preserve">“</w:t>
      </w:r>
      <w:r>
        <w:t xml:space="preserve">the writ of habeas corpus is intended to protect the liberty right of human</w:t>
      </w:r>
      <w:r>
        <w:t xml:space="preserve"> </w:t>
      </w:r>
      <w:r>
        <w:t xml:space="preserve">beings</w:t>
      </w:r>
      <w:r>
        <w:t xml:space="preserve">”</w:t>
      </w:r>
      <w:r>
        <w:t xml:space="preserve">);</w:t>
      </w:r>
      <w:r>
        <w:t xml:space="preserve"> </w:t>
      </w:r>
      <w:r>
        <w:rPr>
          <w:iCs/>
          <w:i/>
        </w:rPr>
        <w:t xml:space="preserve">People ex rel. Nonhuman Rights Project, Inc. v. Lavery</w:t>
      </w:r>
      <w:r>
        <w:t xml:space="preserve">, 124 A.D.3d 148 (3d Dep’t 2014). The reasoning</w:t>
      </w:r>
      <w:r>
        <w:t xml:space="preserve"> </w:t>
      </w:r>
      <w:r>
        <w:t xml:space="preserve">of those cases, however, points toward recognition of intelligent NHI.</w:t>
      </w:r>
      <w:r>
        <w:t xml:space="preserve"> </w:t>
      </w:r>
      <w:r>
        <w:rPr>
          <w:iCs/>
          <w:i/>
        </w:rPr>
        <w:t xml:space="preserve">Lavery</w:t>
      </w:r>
      <w:r>
        <w:t xml:space="preserve"> </w:t>
      </w:r>
      <w:r>
        <w:t xml:space="preserve">tied rights to the capacity to</w:t>
      </w:r>
      <w:r>
        <w:t xml:space="preserve"> </w:t>
      </w:r>
      <w:r>
        <w:t xml:space="preserve">bear legal duties: chimpanzees</w:t>
      </w:r>
      <w:r>
        <w:t xml:space="preserve"> </w:t>
      </w:r>
      <w:r>
        <w:t xml:space="preserve">“</w:t>
      </w:r>
      <w:r>
        <w:t xml:space="preserve">cannot bear any legal duties, submit to societal responsibility or be held legally</w:t>
      </w:r>
      <w:r>
        <w:t xml:space="preserve"> </w:t>
      </w:r>
      <w:r>
        <w:t xml:space="preserve">accountable for their actions.</w:t>
      </w:r>
      <w:r>
        <w:t xml:space="preserve">”</w:t>
      </w:r>
      <w:r>
        <w:t xml:space="preserve"> </w:t>
      </w:r>
      <w:r>
        <w:t xml:space="preserve">124 A.D.3d at 152. An intelligent being able to communicate, enter</w:t>
      </w:r>
      <w:r>
        <w:t xml:space="preserve"> </w:t>
      </w:r>
      <w:r>
        <w:t xml:space="preserve">agreements, and answer for its conduct satisfies that criterion in a way animals do not.</w:t>
      </w:r>
    </w:p>
    <w:p>
      <w:pPr>
        <w:pStyle w:val="BodyText"/>
      </w:pPr>
      <w:r>
        <w:t xml:space="preserve">The analysis recommends: (1) treat the question as one of first impression to be settled by legislation and</w:t>
      </w:r>
      <w:r>
        <w:t xml:space="preserve"> </w:t>
      </w:r>
      <w:r>
        <w:t xml:space="preserve">treaty in preference to litigation; (2) in the meantime, argue that existing protections for</w:t>
      </w:r>
      <w:r>
        <w:t xml:space="preserve"> </w:t>
      </w:r>
      <w:r>
        <w:t xml:space="preserve">“</w:t>
      </w:r>
      <w:r>
        <w:t xml:space="preserve">persons</w:t>
      </w:r>
      <w:r>
        <w:t xml:space="preserve">”</w:t>
      </w:r>
      <w:r>
        <w:t xml:space="preserve"> </w:t>
      </w:r>
      <w:r>
        <w:t xml:space="preserve">(due process, torture</w:t>
      </w:r>
      <w:r>
        <w:t xml:space="preserve"> </w:t>
      </w:r>
      <w:r>
        <w:t xml:space="preserve">statutes, laws of war) should be read to reach intelligent beings with the capacities those protections presuppose;</w:t>
      </w:r>
      <w:r>
        <w:t xml:space="preserve"> </w:t>
      </w:r>
      <w:r>
        <w:t xml:space="preserve">and (3) build a framework in stages (protection from cruelty and arbitrary killing; due process for detention;</w:t>
      </w:r>
      <w:r>
        <w:t xml:space="preserve"> </w:t>
      </w:r>
      <w:r>
        <w:t xml:space="preserve">communication and representation; then broader rights and duties by agreement).</w:t>
      </w:r>
    </w:p>
    <w:p>
      <w:r>
        <w:pict>
          <v:rect style="width:0;height:1.5pt" o:hralign="center" o:hrstd="t" o:hr="t"/>
        </w:pict>
      </w:r>
    </w:p>
    <w:bookmarkEnd w:id="25"/>
    <w:bookmarkStart w:id="33" w:name="who-is-a-person-under-u.s.-law"/>
    <w:p>
      <w:pPr>
        <w:pStyle w:val="Heading2"/>
      </w:pPr>
      <w:r>
        <w:t xml:space="preserve">2. Who is a</w:t>
      </w:r>
      <w:r>
        <w:t xml:space="preserve"> </w:t>
      </w:r>
      <w:r>
        <w:t xml:space="preserve">“</w:t>
      </w:r>
      <w:r>
        <w:t xml:space="preserve">person</w:t>
      </w:r>
      <w:r>
        <w:t xml:space="preserve">”</w:t>
      </w:r>
      <w:r>
        <w:t xml:space="preserve"> </w:t>
      </w:r>
      <w:r>
        <w:t xml:space="preserve">under U.S. law</w:t>
      </w:r>
    </w:p>
    <w:bookmarkStart w:id="26" w:name="statutory-definitions"/>
    <w:p>
      <w:pPr>
        <w:pStyle w:val="Heading3"/>
      </w:pPr>
      <w:r>
        <w:t xml:space="preserve">2.1 Statutory definitions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Dictionary Act</w:t>
      </w:r>
      <w:r>
        <w:t xml:space="preserve">, 1 U.S.C. §1:</w:t>
      </w:r>
      <w:r>
        <w:t xml:space="preserve"> </w:t>
      </w:r>
      <w:r>
        <w:t xml:space="preserve">“</w:t>
      </w:r>
      <w:r>
        <w:t xml:space="preserve">person</w:t>
      </w:r>
      <w:r>
        <w:t xml:space="preserve">”</w:t>
      </w:r>
      <w:r>
        <w:t xml:space="preserve"> </w:t>
      </w:r>
      <w:r>
        <w:t xml:space="preserve">includes</w:t>
      </w:r>
      <w:r>
        <w:t xml:space="preserve"> </w:t>
      </w:r>
      <w:r>
        <w:t xml:space="preserve">“</w:t>
      </w:r>
      <w:r>
        <w:t xml:space="preserve">corporations, companies, associations, firms, partnerships,</w:t>
      </w:r>
      <w:r>
        <w:t xml:space="preserve"> </w:t>
      </w:r>
      <w:r>
        <w:t xml:space="preserve">societies, and joint stock companies, as well as individuals,</w:t>
      </w:r>
      <w:r>
        <w:t xml:space="preserve">”</w:t>
      </w:r>
      <w:r>
        <w:t xml:space="preserve"> </w:t>
      </w:r>
      <w:r>
        <w:t xml:space="preserve">unless the context indicates otherwise.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1 U.S.C. §8</w:t>
      </w:r>
      <w:r>
        <w:t xml:space="preserve">:</w:t>
      </w:r>
      <w:r>
        <w:t xml:space="preserve"> </w:t>
      </w:r>
      <w:r>
        <w:t xml:space="preserve">“</w:t>
      </w:r>
      <w:r>
        <w:t xml:space="preserve">person,</w:t>
      </w:r>
      <w:r>
        <w:t xml:space="preserve">”</w:t>
      </w:r>
      <w:r>
        <w:t xml:space="preserve"> </w:t>
      </w:r>
      <w:r>
        <w:t xml:space="preserve">“</w:t>
      </w:r>
      <w:r>
        <w:t xml:space="preserve">human being,</w:t>
      </w:r>
      <w:r>
        <w:t xml:space="preserve">”</w:t>
      </w:r>
      <w:r>
        <w:t xml:space="preserve"> </w:t>
      </w:r>
      <w:r>
        <w:t xml:space="preserve">“</w:t>
      </w:r>
      <w:r>
        <w:t xml:space="preserve">child,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individual</w:t>
      </w:r>
      <w:r>
        <w:t xml:space="preserve">”</w:t>
      </w:r>
      <w:r>
        <w:t xml:space="preserve"> </w:t>
      </w:r>
      <w:r>
        <w:t xml:space="preserve">include</w:t>
      </w:r>
      <w:r>
        <w:t xml:space="preserve"> </w:t>
      </w:r>
      <w:r>
        <w:t xml:space="preserve">“</w:t>
      </w:r>
      <w:r>
        <w:t xml:space="preserve">every infant member of the species</w:t>
      </w:r>
      <w:r>
        <w:t xml:space="preserve"> </w:t>
      </w:r>
      <w:r>
        <w:t xml:space="preserve">homo sapiens who is born alive.</w:t>
      </w:r>
      <w:r>
        <w:t xml:space="preserve">”</w:t>
      </w:r>
      <w:r>
        <w:t xml:space="preserve"> </w:t>
      </w:r>
      <w:r>
        <w:t xml:space="preserve">The definition expands coverage of human infants; it does not purport to limit</w:t>
      </w:r>
      <w:r>
        <w:t xml:space="preserve"> </w:t>
      </w:r>
      <w:r>
        <w:t xml:space="preserve">the term to humans in other statutes.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Statutes using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individual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or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human being</w:t>
      </w:r>
      <w:r>
        <w:rPr>
          <w:bCs/>
          <w:b/>
        </w:rPr>
        <w:t xml:space="preserve">”</w:t>
      </w:r>
      <w:r>
        <w:t xml:space="preserve"> </w:t>
      </w:r>
      <w:r>
        <w:t xml:space="preserve">(for example, many civil rights and criminal statutes) are</w:t>
      </w:r>
      <w:r>
        <w:t xml:space="preserve"> </w:t>
      </w:r>
      <w:r>
        <w:t xml:space="preserve">more likely to be read as human-only.</w:t>
      </w:r>
    </w:p>
    <w:bookmarkEnd w:id="26"/>
    <w:bookmarkStart w:id="27" w:name="constitutional-persons"/>
    <w:p>
      <w:pPr>
        <w:pStyle w:val="Heading3"/>
      </w:pPr>
      <w:r>
        <w:t xml:space="preserve">2.2 Constitutional persons</w:t>
      </w:r>
    </w:p>
    <w:p>
      <w:pPr>
        <w:pStyle w:val="Compact"/>
        <w:numPr>
          <w:ilvl w:val="0"/>
          <w:numId w:val="1003"/>
        </w:numPr>
      </w:pPr>
      <w:r>
        <w:t xml:space="preserve">The Fifth and Fourteenth Amendments protect</w:t>
      </w:r>
      <w:r>
        <w:t xml:space="preserve"> </w:t>
      </w:r>
      <w:r>
        <w:t xml:space="preserve">“</w:t>
      </w:r>
      <w:r>
        <w:t xml:space="preserve">persons,</w:t>
      </w:r>
      <w:r>
        <w:t xml:space="preserve">”</w:t>
      </w:r>
      <w:r>
        <w:t xml:space="preserve"> </w:t>
      </w:r>
      <w:r>
        <w:t xml:space="preserve">which the Supreme Court has read to include aliens</w:t>
      </w:r>
      <w:r>
        <w:t xml:space="preserve"> </w:t>
      </w:r>
      <w:r>
        <w:t xml:space="preserve">physically present in the United States, whether lawfully or not (</w:t>
      </w:r>
      <w:r>
        <w:rPr>
          <w:iCs/>
          <w:i/>
        </w:rPr>
        <w:t xml:space="preserve">Plyler v. Doe</w:t>
      </w:r>
      <w:r>
        <w:t xml:space="preserve">, 457 U.S. 202, 210 (1982);</w:t>
      </w:r>
      <w:r>
        <w:t xml:space="preserve"> </w:t>
      </w:r>
      <w:r>
        <w:rPr>
          <w:iCs/>
          <w:i/>
        </w:rPr>
        <w:t xml:space="preserve">Wong Wing v. United States</w:t>
      </w:r>
      <w:r>
        <w:t xml:space="preserve">, 163 U.S. 228 (1896)), and corporations for some purposes.</w:t>
      </w:r>
      <w:r>
        <w:t xml:space="preserve"> </w:t>
      </w:r>
      <w:r>
        <w:rPr>
          <w:iCs/>
          <w:i/>
        </w:rPr>
        <w:t xml:space="preserve">Boumediene v. Bush</w:t>
      </w:r>
      <w:r>
        <w:t xml:space="preserve">,</w:t>
      </w:r>
      <w:r>
        <w:t xml:space="preserve"> </w:t>
      </w:r>
      <w:r>
        <w:t xml:space="preserve">553 U.S. 723 (2008), extended habeas to detainees at Guantánamo.</w:t>
      </w:r>
    </w:p>
    <w:p>
      <w:pPr>
        <w:pStyle w:val="Compact"/>
        <w:numPr>
          <w:ilvl w:val="0"/>
          <w:numId w:val="1003"/>
        </w:numPr>
      </w:pPr>
      <w:r>
        <w:t xml:space="preserve">No court has addressed whether an intelligent non-human being is a constitutional</w:t>
      </w:r>
      <w:r>
        <w:t xml:space="preserve"> </w:t>
      </w:r>
      <w:r>
        <w:t xml:space="preserve">“</w:t>
      </w:r>
      <w:r>
        <w:t xml:space="preserve">person.</w:t>
      </w:r>
      <w:r>
        <w:t xml:space="preserve">”</w:t>
      </w:r>
      <w:r>
        <w:t xml:space="preserve"> </w:t>
      </w:r>
      <w:r>
        <w:t xml:space="preserve">The text does not</w:t>
      </w:r>
      <w:r>
        <w:t xml:space="preserve"> </w:t>
      </w:r>
      <w:r>
        <w:t xml:space="preserve">limit the term to humans. Historical understanding plainly did not contemplate NHI. A court would likely look to</w:t>
      </w:r>
      <w:r>
        <w:t xml:space="preserve"> </w:t>
      </w:r>
      <w:r>
        <w:t xml:space="preserve">function: capacity for reason, communication, and moral agency.</w:t>
      </w:r>
    </w:p>
    <w:bookmarkEnd w:id="27"/>
    <w:bookmarkStart w:id="28" w:name="the-animal-personhood-cases"/>
    <w:p>
      <w:pPr>
        <w:pStyle w:val="Heading3"/>
      </w:pPr>
      <w:r>
        <w:t xml:space="preserve">2.3 The animal personhood cases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Breheny</w:t>
      </w:r>
      <w:r>
        <w:t xml:space="preserve"> </w:t>
      </w:r>
      <w:r>
        <w:t xml:space="preserve">(N.Y. 2022) (5-2): habeas unavailable to an elephant because it is not a</w:t>
      </w:r>
      <w:r>
        <w:t xml:space="preserve"> </w:t>
      </w:r>
      <w:r>
        <w:t xml:space="preserve">“</w:t>
      </w:r>
      <w:r>
        <w:t xml:space="preserve">person</w:t>
      </w:r>
      <w:r>
        <w:t xml:space="preserve">”</w:t>
      </w:r>
      <w:r>
        <w:t xml:space="preserve">; Judges Wilson and</w:t>
      </w:r>
      <w:r>
        <w:t xml:space="preserve"> </w:t>
      </w:r>
      <w:r>
        <w:t xml:space="preserve">Rivera dissented, invoking the writ’s historic use for those the law treated as property.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Lavery</w:t>
      </w:r>
      <w:r>
        <w:t xml:space="preserve"> </w:t>
      </w:r>
      <w:r>
        <w:t xml:space="preserve">(N.Y. App. Div. 2014): denied habeas for a chimpanzee because rights are connected to duties under</w:t>
      </w:r>
      <w:r>
        <w:t xml:space="preserve"> </w:t>
      </w:r>
      <w:r>
        <w:t xml:space="preserve">social-contract principles.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Tilikum ex rel. PETA v. Sea World Parks &amp; Entertainment, Inc.</w:t>
      </w:r>
      <w:r>
        <w:t xml:space="preserve">, 842 F. Supp. 2d 1259, 1262-63 (S.D. Cal.</w:t>
      </w:r>
      <w:r>
        <w:t xml:space="preserve"> </w:t>
      </w:r>
      <w:r>
        <w:t xml:space="preserve">2012): the Thirteenth Amendment</w:t>
      </w:r>
      <w:r>
        <w:t xml:space="preserve"> </w:t>
      </w:r>
      <w:r>
        <w:t xml:space="preserve">“</w:t>
      </w:r>
      <w:r>
        <w:t xml:space="preserve">only applies to</w:t>
      </w:r>
      <w:r>
        <w:t xml:space="preserve"> </w:t>
      </w:r>
      <w:r>
        <w:t xml:space="preserve">‘</w:t>
      </w:r>
      <w:r>
        <w:t xml:space="preserve">humans,</w:t>
      </w:r>
      <w:r>
        <w:t xml:space="preserve">’</w:t>
      </w:r>
      <w:r>
        <w:t xml:space="preserve">”</w:t>
      </w:r>
      <w:r>
        <w:t xml:space="preserve"> </w:t>
      </w:r>
      <w:r>
        <w:t xml:space="preserve">so orcas held at a marine park lacked standing to</w:t>
      </w:r>
      <w:r>
        <w:t xml:space="preserve"> </w:t>
      </w:r>
      <w:r>
        <w:t xml:space="preserve">sue under it. The court reasoned from the meaning of</w:t>
      </w:r>
      <w:r>
        <w:t xml:space="preserve"> </w:t>
      </w:r>
      <w:r>
        <w:t xml:space="preserve">“</w:t>
      </w:r>
      <w:r>
        <w:t xml:space="preserve">slavery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involuntary servitude</w:t>
      </w:r>
      <w:r>
        <w:t xml:space="preserve">”</w:t>
      </w:r>
      <w:r>
        <w:t xml:space="preserve"> </w:t>
      </w:r>
      <w:r>
        <w:t xml:space="preserve">in 1865, which</w:t>
      </w:r>
      <w:r>
        <w:t xml:space="preserve"> </w:t>
      </w:r>
      <w:r>
        <w:t xml:space="preserve">“</w:t>
      </w:r>
      <w:r>
        <w:t xml:space="preserve">refer only to persons,</w:t>
      </w:r>
      <w:r>
        <w:t xml:space="preserve">”</w:t>
      </w:r>
      <w:r>
        <w:t xml:space="preserve"> </w:t>
      </w:r>
      <w:r>
        <w:t xml:space="preserve">and from the clause</w:t>
      </w:r>
      <w:r>
        <w:t xml:space="preserve"> </w:t>
      </w:r>
      <w:r>
        <w:t xml:space="preserve">“</w:t>
      </w:r>
      <w:r>
        <w:t xml:space="preserve">except as a punishment for crime,</w:t>
      </w:r>
      <w:r>
        <w:t xml:space="preserve">”</w:t>
      </w:r>
      <w:r>
        <w:t xml:space="preserve"> </w:t>
      </w:r>
      <w:r>
        <w:t xml:space="preserve">since only persons can be</w:t>
      </w:r>
      <w:r>
        <w:t xml:space="preserve"> </w:t>
      </w:r>
      <w:r>
        <w:t xml:space="preserve">convicted. The opinion uses</w:t>
      </w:r>
      <w:r>
        <w:t xml:space="preserve"> </w:t>
      </w:r>
      <w:r>
        <w:t xml:space="preserve">“</w:t>
      </w:r>
      <w:r>
        <w:t xml:space="preserve">humans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persons</w:t>
      </w:r>
      <w:r>
        <w:t xml:space="preserve">”</w:t>
      </w:r>
      <w:r>
        <w:t xml:space="preserve"> </w:t>
      </w:r>
      <w:r>
        <w:t xml:space="preserve">interchangeably and so leaves open whether a non-human</w:t>
      </w:r>
      <w:r>
        <w:t xml:space="preserve"> </w:t>
      </w:r>
      <w:r>
        <w:t xml:space="preserve">being capable of crime and of contract would fall within the amendment.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Nonhuman Rights Project, Inc. ex rel. Tommy v. Lavery</w:t>
      </w:r>
      <w:r>
        <w:t xml:space="preserve">, 31 N.Y.3d 1054 (2018): the Court of Appeals denied leave</w:t>
      </w:r>
      <w:r>
        <w:t xml:space="preserve"> </w:t>
      </w:r>
      <w:r>
        <w:t xml:space="preserve">to appeal in a chimpanzee habeas case, but Judge Fahey, concurring, wrote that the denial was not a ruling on the</w:t>
      </w:r>
      <w:r>
        <w:t xml:space="preserve"> </w:t>
      </w:r>
      <w:r>
        <w:t xml:space="preserve">merits and that whether a nonhuman being may have a right to liberty protected by the writ is a profound question</w:t>
      </w:r>
      <w:r>
        <w:t xml:space="preserve"> </w:t>
      </w:r>
      <w:r>
        <w:t xml:space="preserve">the court would eventually have to confront. His concurrence is the most useful statement for a petitioner.</w:t>
      </w:r>
    </w:p>
    <w:p>
      <w:pPr>
        <w:pStyle w:val="Compact"/>
        <w:numPr>
          <w:ilvl w:val="0"/>
          <w:numId w:val="1004"/>
        </w:numPr>
      </w:pPr>
      <w:r>
        <w:rPr>
          <w:iCs/>
          <w:i/>
        </w:rPr>
        <w:t xml:space="preserve">Cetacean Community v. Bush</w:t>
      </w:r>
      <w:r>
        <w:t xml:space="preserve">, 386 F.3d 1169 (9th Cir. 2004): suit in the name of the world’s whales, porpoises, and</w:t>
      </w:r>
      <w:r>
        <w:t xml:space="preserve"> </w:t>
      </w:r>
      <w:r>
        <w:t xml:space="preserve">dolphins was dismissed because no statute authorized animals to sue. The Ninth Circuit held that</w:t>
      </w:r>
      <w:r>
        <w:t xml:space="preserve"> </w:t>
      </w:r>
      <w:r>
        <w:t xml:space="preserve">“</w:t>
      </w:r>
      <w:r>
        <w:t xml:space="preserve">nothing in the</w:t>
      </w:r>
      <w:r>
        <w:t xml:space="preserve"> </w:t>
      </w:r>
      <w:r>
        <w:t xml:space="preserve">text of Article III explicitly limits the ability to bring a claim in federal court to humans</w:t>
      </w:r>
      <w:r>
        <w:t xml:space="preserve">”</w:t>
      </w:r>
      <w:r>
        <w:t xml:space="preserve"> </w:t>
      </w:r>
      <w:r>
        <w:t xml:space="preserve">and saw</w:t>
      </w:r>
      <w:r>
        <w:t xml:space="preserve"> </w:t>
      </w:r>
      <w:r>
        <w:t xml:space="preserve">“</w:t>
      </w:r>
      <w:r>
        <w:t xml:space="preserve">no reason</w:t>
      </w:r>
      <w:r>
        <w:t xml:space="preserve"> </w:t>
      </w:r>
      <w:r>
        <w:t xml:space="preserve">why Article III prevents Congress from authorizing a suit in the name of an animal,</w:t>
      </w:r>
      <w:r>
        <w:t xml:space="preserve">”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1175-76, but found that</w:t>
      </w:r>
      <w:r>
        <w:t xml:space="preserve"> </w:t>
      </w:r>
      <w:r>
        <w:t xml:space="preserve">Congress had not done so,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1179. For NHI the case means that the constitutional barrier is low and the</w:t>
      </w:r>
      <w:r>
        <w:t xml:space="preserve"> </w:t>
      </w:r>
      <w:r>
        <w:t xml:space="preserve">statutory one is decisive: Congress can open the courts by statute.</w:t>
      </w:r>
    </w:p>
    <w:p>
      <w:pPr>
        <w:pStyle w:val="Compact"/>
        <w:numPr>
          <w:ilvl w:val="0"/>
          <w:numId w:val="1004"/>
        </w:numPr>
      </w:pPr>
      <w:r>
        <w:t xml:space="preserve">These cases turn on species and on the absence of capacity for duties; they are distinguishable for beings with</w:t>
      </w:r>
      <w:r>
        <w:t xml:space="preserve"> </w:t>
      </w:r>
      <w:r>
        <w:t xml:space="preserve">intelligence equal to or greater than humans.</w:t>
      </w:r>
    </w:p>
    <w:bookmarkEnd w:id="28"/>
    <w:bookmarkStart w:id="29" w:name="X092c56ca8341ac3e3215ae3f91ad81026159fb9"/>
    <w:p>
      <w:pPr>
        <w:pStyle w:val="Heading3"/>
      </w:pPr>
      <w:r>
        <w:t xml:space="preserve">2.3A Foreign decisions recognizing nonhuman rights holders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Argentina.</w:t>
      </w:r>
      <w:r>
        <w:t xml:space="preserve"> </w:t>
      </w:r>
      <w:r>
        <w:t xml:space="preserve">Courts treated the orangutan Sandra as a</w:t>
      </w:r>
      <w:r>
        <w:t xml:space="preserve"> </w:t>
      </w:r>
      <w:r>
        <w:t xml:space="preserve">“</w:t>
      </w:r>
      <w:r>
        <w:t xml:space="preserve">non-human subject</w:t>
      </w:r>
      <w:r>
        <w:t xml:space="preserve">”</w:t>
      </w:r>
      <w:r>
        <w:t xml:space="preserve"> </w:t>
      </w:r>
      <w:r>
        <w:t xml:space="preserve">with rights in 2014-2015 and ordered</w:t>
      </w:r>
      <w:r>
        <w:t xml:space="preserve"> </w:t>
      </w:r>
      <w:r>
        <w:t xml:space="preserve">her conditions improved.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Colombia.</w:t>
      </w:r>
      <w:r>
        <w:t xml:space="preserve"> </w:t>
      </w:r>
      <w:r>
        <w:t xml:space="preserve">The Supreme Court of Justice granted habeas corpus to a bear (Chucho) in 2017; the Constitutional</w:t>
      </w:r>
      <w:r>
        <w:t xml:space="preserve"> </w:t>
      </w:r>
      <w:r>
        <w:t xml:space="preserve">Court reversed in 2020, holding habeas unavailable to animals.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Ecuador.</w:t>
      </w:r>
      <w:r>
        <w:t xml:space="preserve"> </w:t>
      </w:r>
      <w:r>
        <w:t xml:space="preserve">The Constitutional Court held in 2022 (case 253-20-JH/22, the woolly monkey Estrellita) that wild</w:t>
      </w:r>
      <w:r>
        <w:t xml:space="preserve"> </w:t>
      </w:r>
      <w:r>
        <w:t xml:space="preserve">animals are subjects of rights under the rights-of-nature provisions of the 2008 Constitution and that habeas</w:t>
      </w:r>
      <w:r>
        <w:t xml:space="preserve"> </w:t>
      </w:r>
      <w:r>
        <w:t xml:space="preserve">corpus may be appropriate for them in some circumstances.</w:t>
      </w:r>
    </w:p>
    <w:p>
      <w:pPr>
        <w:pStyle w:val="FirstParagraph"/>
      </w:pPr>
      <w:r>
        <w:t xml:space="preserve">These decisions concern animals, and two of the three rest on constitutional texts the United States does not</w:t>
      </w:r>
      <w:r>
        <w:t xml:space="preserve"> </w:t>
      </w:r>
      <w:r>
        <w:t xml:space="preserve">have. Their value is to show courts treating the category of rights holder as open.</w:t>
      </w:r>
    </w:p>
    <w:bookmarkEnd w:id="29"/>
    <w:bookmarkStart w:id="31" w:name="b-international-legal-personality"/>
    <w:p>
      <w:pPr>
        <w:pStyle w:val="Heading3"/>
      </w:pPr>
      <w:r>
        <w:t xml:space="preserve">2.3B International legal personality</w:t>
      </w:r>
    </w:p>
    <w:p>
      <w:pPr>
        <w:pStyle w:val="FirstParagraph"/>
      </w:pPr>
      <w:r>
        <w:t xml:space="preserve">International law has long accepted that legal persons need not be alike. Asked whether the United Nations could</w:t>
      </w:r>
      <w:r>
        <w:t xml:space="preserve"> </w:t>
      </w:r>
      <w:r>
        <w:t xml:space="preserve">bring an international claim, the International Court of Justice said:</w:t>
      </w:r>
      <w:r>
        <w:t xml:space="preserve"> </w:t>
      </w:r>
      <w:r>
        <w:t xml:space="preserve">“</w:t>
      </w:r>
      <w:r>
        <w:t xml:space="preserve">The subjects of law in any legal system are</w:t>
      </w:r>
      <w:r>
        <w:t xml:space="preserve"> </w:t>
      </w:r>
      <w:r>
        <w:t xml:space="preserve">not necessarily identical in their nature or in the extent of their rights, and their nature depends upon the needs</w:t>
      </w:r>
      <w:r>
        <w:t xml:space="preserve"> </w:t>
      </w:r>
      <w:r>
        <w:t xml:space="preserve">of the community.</w:t>
      </w:r>
      <w:r>
        <w:t xml:space="preserve">”</w:t>
      </w:r>
      <w:r>
        <w:t xml:space="preserve"> </w:t>
      </w:r>
      <w:r>
        <w:rPr>
          <w:iCs/>
          <w:i/>
        </w:rPr>
        <w:t xml:space="preserve">Reparation for Injuries Suffered in the Service of the United Nations</w:t>
      </w:r>
      <w:r>
        <w:t xml:space="preserve">, Advisory Opinion, 1949</w:t>
      </w:r>
      <w:r>
        <w:t xml:space="preserve"> </w:t>
      </w:r>
      <w:r>
        <w:t xml:space="preserve">I.C.J. 174, 178 (Apr. 11). An organized NHI polity able to enter and keep agreements could be recognized as an</w:t>
      </w:r>
      <w:r>
        <w:t xml:space="preserve"> </w:t>
      </w:r>
      <w:r>
        <w:t xml:space="preserve">international legal person with the capacities its relations require, without being treated as a state (</w:t>
      </w:r>
      <w:hyperlink r:id="rId30">
        <w:r>
          <w:rPr>
            <w:rStyle w:val="Hyperlink"/>
          </w:rPr>
          <w:t xml:space="preserve">Issue F5</w:t>
        </w:r>
      </w:hyperlink>
      <w:r>
        <w:t xml:space="preserve">).</w:t>
      </w:r>
    </w:p>
    <w:bookmarkEnd w:id="31"/>
    <w:bookmarkStart w:id="32" w:name="Xc9eeeb4f59a96225f8c410df4f8af0638dd8fb9"/>
    <w:p>
      <w:pPr>
        <w:pStyle w:val="Heading3"/>
      </w:pPr>
      <w:r>
        <w:t xml:space="preserve">2.4 Analogies from other</w:t>
      </w:r>
      <w:r>
        <w:t xml:space="preserve"> </w:t>
      </w:r>
      <w:r>
        <w:t xml:space="preserve">“</w:t>
      </w:r>
      <w:r>
        <w:t xml:space="preserve">nonhuman</w:t>
      </w:r>
      <w:r>
        <w:t xml:space="preserve">”</w:t>
      </w:r>
      <w:r>
        <w:t xml:space="preserve"> </w:t>
      </w:r>
      <w:r>
        <w:t xml:space="preserve">legal developments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Artificial intelligence</w:t>
      </w:r>
      <w:r>
        <w:t xml:space="preserve">: courts have declined to treat AI systems as inventors or authors (</w:t>
      </w:r>
      <w:r>
        <w:rPr>
          <w:iCs/>
          <w:i/>
        </w:rPr>
        <w:t xml:space="preserve">Thaler v. Vidal</w:t>
      </w:r>
      <w:r>
        <w:t xml:space="preserve">,</w:t>
      </w:r>
      <w:r>
        <w:t xml:space="preserve"> </w:t>
      </w:r>
      <w:r>
        <w:t xml:space="preserve">43 F.4th 1207 (Fed. Cir. 2022);</w:t>
      </w:r>
      <w:r>
        <w:t xml:space="preserve"> </w:t>
      </w:r>
      <w:r>
        <w:rPr>
          <w:iCs/>
          <w:i/>
        </w:rPr>
        <w:t xml:space="preserve">Thaler v. Perlmutter</w:t>
      </w:r>
      <w:r>
        <w:t xml:space="preserve">, 130 F.4th 1039 (D.C. Cir. 2025) (Copyright Act requires</w:t>
      </w:r>
      <w:r>
        <w:t xml:space="preserve"> </w:t>
      </w:r>
      <w:r>
        <w:t xml:space="preserve">human authorship), cert. denied, No. 25-449 (U.S. Mar. 2, 2026)). The reasoning rests on</w:t>
      </w:r>
      <w:r>
        <w:t xml:space="preserve"> </w:t>
      </w:r>
      <w:r>
        <w:t xml:space="preserve">statutory text requiring human inventors and authors; the courts did not announce a general principle that only humans can hold</w:t>
      </w:r>
      <w:r>
        <w:t xml:space="preserve"> </w:t>
      </w:r>
      <w:r>
        <w:t xml:space="preserve">rights.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Rights of nature</w:t>
      </w:r>
      <w:r>
        <w:t xml:space="preserve">: some jurisdictions recognize rivers and ecosystems as legal persons (New Zealand’s Te Awa</w:t>
      </w:r>
      <w:r>
        <w:t xml:space="preserve"> </w:t>
      </w:r>
      <w:r>
        <w:t xml:space="preserve">Tupua Act 2017; Ecuador’s Constitution art. 71). These show that legislatures can confer personhood by</w:t>
      </w:r>
      <w:r>
        <w:t xml:space="preserve"> </w:t>
      </w:r>
      <w:r>
        <w:t xml:space="preserve">statute.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5" w:name="Xe19e82dee4bad75d579603b83b974960e4fa8e1"/>
    <w:p>
      <w:pPr>
        <w:pStyle w:val="Heading2"/>
      </w:pPr>
      <w:r>
        <w:t xml:space="preserve">3. Bodies of law that would apply to NHI on the premise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Body of law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Application to NHI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Criminal homicide and assault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Protect</w:t>
            </w:r>
            <w:r>
              <w:t xml:space="preserve"> </w:t>
            </w:r>
            <w:r>
              <w:t xml:space="preserve">“</w:t>
            </w:r>
            <w:r>
              <w:t xml:space="preserve">human beings</w:t>
            </w:r>
            <w:r>
              <w:t xml:space="preserve">”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</w:t>
            </w:r>
            <w:r>
              <w:t xml:space="preserve">persons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 homicide statutes generally define victims as human beings; killing an NHI would likely not be murder under current statutes, but could be charged under statutes protecting</w:t>
            </w:r>
            <w:r>
              <w:t xml:space="preserve"> </w:t>
            </w:r>
            <w:r>
              <w:t xml:space="preserve">“</w:t>
            </w:r>
            <w:r>
              <w:t xml:space="preserve">persons</w:t>
            </w:r>
            <w:r>
              <w:t xml:space="preserve">”</w:t>
            </w:r>
            <w:r>
              <w:t xml:space="preserve"> </w:t>
            </w:r>
            <w:r>
              <w:t xml:space="preserve">if courts read the term functionally. Legislative clarification is needed.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Torture statute, 18 U.S.C. §2340-2340A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Severe pain or suffering inflicted on</w:t>
            </w:r>
            <w:r>
              <w:t xml:space="preserve"> </w:t>
            </w:r>
            <w:r>
              <w:t xml:space="preserve">“</w:t>
            </w:r>
            <w:r>
              <w:t xml:space="preserve">another person</w:t>
            </w:r>
            <w:r>
              <w:t xml:space="preserve">”</w:t>
            </w:r>
            <w:r>
              <w:t xml:space="preserve"> </w:t>
            </w:r>
            <w:r>
              <w:t xml:space="preserve">in the offender’s custody, outside the U.S.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Person</w:t>
            </w:r>
            <w:r>
              <w:t xml:space="preserve">”</w:t>
            </w:r>
            <w:r>
              <w:t xml:space="preserve"> </w:t>
            </w:r>
            <w:r>
              <w:t xml:space="preserve">undefined; arguably reaches intelligent NHI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Animal welfare law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Animal Welfare Act (7 U.S.C. §2131 et seq.); state cruelty statutes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Animal</w:t>
            </w:r>
            <w:r>
              <w:t xml:space="preserve">”</w:t>
            </w:r>
            <w:r>
              <w:t xml:space="preserve"> </w:t>
            </w:r>
            <w:r>
              <w:t xml:space="preserve">definitions focus on vertebrates used in research or exhibition; would cover NHI only by strained reading; the floor of protection if nothing else applies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Persons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Strongest argument for procedural protection of detained NHI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Law of armed conflict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Protects</w:t>
            </w:r>
            <w:r>
              <w:t xml:space="preserve"> </w:t>
            </w:r>
            <w:r>
              <w:t xml:space="preserve">“</w:t>
            </w:r>
            <w:r>
              <w:t xml:space="preserve">persons</w:t>
            </w:r>
            <w:r>
              <w:t xml:space="preserve">”</w:t>
            </w:r>
            <w:r>
              <w:t xml:space="preserve"> </w:t>
            </w:r>
            <w:r>
              <w:t xml:space="preserve">(combatants, civilians, persons hors de combat)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Applies by analogy if conflict exists; see</w:t>
            </w:r>
            <w:r>
              <w:t xml:space="preserve"> </w:t>
            </w:r>
            <w:hyperlink r:id="rId34">
              <w:r>
                <w:rPr>
                  <w:rStyle w:val="Hyperlink"/>
                </w:rPr>
                <w:t xml:space="preserve">Issue F2</w:t>
              </w:r>
            </w:hyperlink>
            <w:r>
              <w:t xml:space="preserve">, F5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Human rights treaties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Every human being</w:t>
            </w:r>
            <w:r>
              <w:t xml:space="preserve">”</w:t>
            </w:r>
            <w:r>
              <w:t xml:space="preserve"> </w:t>
            </w:r>
            <w:r>
              <w:t xml:space="preserve">(ICCPR Art. 6) /</w:t>
            </w:r>
            <w:r>
              <w:t xml:space="preserve"> </w:t>
            </w:r>
            <w:r>
              <w:t xml:space="preserve">“</w:t>
            </w:r>
            <w:r>
              <w:t xml:space="preserve">everyone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Textually human-focused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Immigration law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Aliens</w:t>
            </w:r>
            <w:r>
              <w:t xml:space="preserve">”</w:t>
            </w:r>
            <w:r>
              <w:t xml:space="preserve"> </w:t>
            </w:r>
            <w:r>
              <w:t xml:space="preserve">(any person not a citizen or national)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U.S.C. §1101(a)(3) defines</w:t>
            </w:r>
            <w:r>
              <w:t xml:space="preserve"> </w:t>
            </w:r>
            <w:r>
              <w:t xml:space="preserve">“</w:t>
            </w:r>
            <w:r>
              <w:t xml:space="preserve">alien</w:t>
            </w:r>
            <w:r>
              <w:t xml:space="preserve">”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r>
              <w:t xml:space="preserve">“</w:t>
            </w:r>
            <w:r>
              <w:t xml:space="preserve">any person not a citizen or national of the United States</w:t>
            </w:r>
            <w:r>
              <w:t xml:space="preserve">”</w:t>
            </w:r>
            <w:r>
              <w:t xml:space="preserve">; status, admission, and removal frameworks would be strained but are textually available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5"/>
    <w:bookmarkStart w:id="44" w:name="how-new-law-should-be-developed"/>
    <w:p>
      <w:pPr>
        <w:pStyle w:val="Heading2"/>
      </w:pPr>
      <w:r>
        <w:t xml:space="preserve">4. How new law should be developed</w:t>
      </w:r>
    </w:p>
    <w:bookmarkStart w:id="37" w:name="institutions"/>
    <w:p>
      <w:pPr>
        <w:pStyle w:val="Heading3"/>
      </w:pPr>
      <w:r>
        <w:t xml:space="preserve">4.1 Institutions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Congress</w:t>
      </w:r>
      <w:r>
        <w:t xml:space="preserve"> </w:t>
      </w:r>
      <w:r>
        <w:t xml:space="preserve">has authority under the Commerce Clause, the Necessary and Proper Clause, its war and foreign</w:t>
      </w:r>
      <w:r>
        <w:t xml:space="preserve"> </w:t>
      </w:r>
      <w:r>
        <w:t xml:space="preserve">affairs powers, and Section 5 of the Fourteenth Amendment (if NHI are persons) to define status and rights.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Treaty-making</w:t>
      </w:r>
      <w:r>
        <w:t xml:space="preserve"> </w:t>
      </w:r>
      <w:r>
        <w:t xml:space="preserve">is the natural instrument for relations with an organized non-human civilization; the</w:t>
      </w:r>
      <w:r>
        <w:t xml:space="preserve"> </w:t>
      </w:r>
      <w:r>
        <w:t xml:space="preserve">President negotiates and the Senate consents (Art. II, §2). Recognition of a non-human polity would be an</w:t>
      </w:r>
      <w:r>
        <w:t xml:space="preserve"> </w:t>
      </w:r>
      <w:r>
        <w:t xml:space="preserve">executive act (</w:t>
      </w:r>
      <w:r>
        <w:rPr>
          <w:iCs/>
          <w:i/>
        </w:rPr>
        <w:t xml:space="preserve">Zivotofsky v. Kerry</w:t>
      </w:r>
      <w:r>
        <w:t xml:space="preserve">, 576 U.S. 1 (2015)) with large consequences (</w:t>
      </w:r>
      <w:hyperlink r:id="rId30">
        <w:r>
          <w:rPr>
            <w:rStyle w:val="Hyperlink"/>
          </w:rPr>
          <w:t xml:space="preserve">Issue F5</w:t>
        </w:r>
      </w:hyperlink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Courts</w:t>
      </w:r>
      <w:r>
        <w:t xml:space="preserve"> </w:t>
      </w:r>
      <w:r>
        <w:t xml:space="preserve">will decide cases that arise before legislation, most likely habeas petitions on behalf of detained</w:t>
      </w:r>
      <w:r>
        <w:t xml:space="preserve"> </w:t>
      </w:r>
      <w:r>
        <w:t xml:space="preserve">beings, tort or criminal cases involving harm to NHI, and disputes over communication.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International bodies</w:t>
      </w:r>
      <w:r>
        <w:t xml:space="preserve"> </w:t>
      </w:r>
      <w:r>
        <w:t xml:space="preserve">(UN COPUOS, the General Assembly) can develop norms; the IAA post-detection protocols</w:t>
      </w:r>
      <w:r>
        <w:t xml:space="preserve"> </w:t>
      </w:r>
      <w:r>
        <w:t xml:space="preserve">are a starting point for the scientific community (</w:t>
      </w:r>
      <w:hyperlink r:id="rId36">
        <w:r>
          <w:rPr>
            <w:rStyle w:val="Hyperlink"/>
          </w:rPr>
          <w:t xml:space="preserve">Issue F6</w:t>
        </w:r>
      </w:hyperlink>
      <w:r>
        <w:t xml:space="preserve">).</w:t>
      </w:r>
    </w:p>
    <w:bookmarkEnd w:id="37"/>
    <w:bookmarkStart w:id="39" w:name="a-staged-framework"/>
    <w:p>
      <w:pPr>
        <w:pStyle w:val="Heading3"/>
      </w:pPr>
      <w:r>
        <w:t xml:space="preserve">4.2 A staged framework</w:t>
      </w:r>
    </w:p>
    <w:p>
      <w:pPr>
        <w:pStyle w:val="Compact"/>
        <w:numPr>
          <w:ilvl w:val="0"/>
          <w:numId w:val="1008"/>
        </w:numPr>
      </w:pPr>
      <w:r>
        <w:rPr>
          <w:bCs/>
          <w:b/>
        </w:rPr>
        <w:t xml:space="preserve">Immediate protections</w:t>
      </w:r>
      <w:r>
        <w:t xml:space="preserve"> </w:t>
      </w:r>
      <w:r>
        <w:t xml:space="preserve">(statute or executive order): prohibit killing, torture, and cruel treatment of NHI</w:t>
      </w:r>
      <w:r>
        <w:t xml:space="preserve"> </w:t>
      </w:r>
      <w:r>
        <w:t xml:space="preserve">by U.S. personnel and contractors; require humane treatment and medical care for any NHI in custody; require</w:t>
      </w:r>
      <w:r>
        <w:t xml:space="preserve"> </w:t>
      </w:r>
      <w:r>
        <w:t xml:space="preserve">reporting of any NHI in custody to Congress and an independent monitor.</w:t>
      </w:r>
    </w:p>
    <w:p>
      <w:pPr>
        <w:pStyle w:val="Compact"/>
        <w:numPr>
          <w:ilvl w:val="0"/>
          <w:numId w:val="1008"/>
        </w:numPr>
      </w:pPr>
      <w:r>
        <w:rPr>
          <w:bCs/>
          <w:b/>
        </w:rPr>
        <w:t xml:space="preserve">Procedural rights</w:t>
      </w:r>
      <w:r>
        <w:t xml:space="preserve">: a hearing before an independent tribunal for any detained NHI, with an appointed</w:t>
      </w:r>
      <w:r>
        <w:t xml:space="preserve"> </w:t>
      </w:r>
      <w:r>
        <w:t xml:space="preserve">representative (guardian-ad-litem model) and interpretation; access to communication where possible.</w:t>
      </w:r>
    </w:p>
    <w:p>
      <w:pPr>
        <w:pStyle w:val="Compact"/>
        <w:numPr>
          <w:ilvl w:val="0"/>
          <w:numId w:val="1008"/>
        </w:numPr>
      </w:pPr>
      <w:r>
        <w:rPr>
          <w:bCs/>
          <w:b/>
        </w:rPr>
        <w:t xml:space="preserve">Communication and representation</w:t>
      </w:r>
      <w:r>
        <w:t xml:space="preserve">: authorize designated representatives to communicate with NHI on legal</w:t>
      </w:r>
      <w:r>
        <w:t xml:space="preserve"> </w:t>
      </w:r>
      <w:r>
        <w:t xml:space="preserve">matters; protect private communication (</w:t>
      </w:r>
      <w:hyperlink r:id="rId38">
        <w:r>
          <w:rPr>
            <w:rStyle w:val="Hyperlink"/>
          </w:rPr>
          <w:t xml:space="preserve">Issue F3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Cs/>
          <w:b/>
        </w:rPr>
        <w:t xml:space="preserve">Reciprocal rights and duties</w:t>
      </w:r>
      <w:r>
        <w:t xml:space="preserve">: by treaty or agreement with any NHI polity, establish mutual protections,</w:t>
      </w:r>
      <w:r>
        <w:t xml:space="preserve"> </w:t>
      </w:r>
      <w:r>
        <w:t xml:space="preserve">jurisdiction over offenses, and dispute resolution.</w:t>
      </w:r>
    </w:p>
    <w:p>
      <w:pPr>
        <w:pStyle w:val="Compact"/>
        <w:numPr>
          <w:ilvl w:val="0"/>
          <w:numId w:val="1008"/>
        </w:numPr>
      </w:pPr>
      <w:r>
        <w:rPr>
          <w:bCs/>
          <w:b/>
        </w:rPr>
        <w:t xml:space="preserve">Remains and biological evidence</w:t>
      </w:r>
      <w:r>
        <w:t xml:space="preserve">: dignified treatment rules modeled on human remains law (NAGPRA analogies)</w:t>
      </w:r>
      <w:r>
        <w:t xml:space="preserve"> </w:t>
      </w:r>
      <w:r>
        <w:t xml:space="preserve">and research ethics (Common Rule analogies for living beings).</w:t>
      </w:r>
    </w:p>
    <w:bookmarkEnd w:id="39"/>
    <w:bookmarkStart w:id="40" w:name="arguments-available-in-litigation-now"/>
    <w:p>
      <w:pPr>
        <w:pStyle w:val="Heading3"/>
      </w:pPr>
      <w:r>
        <w:t xml:space="preserve">4.3 Arguments available in litigation now</w:t>
      </w:r>
    </w:p>
    <w:p>
      <w:pPr>
        <w:pStyle w:val="Compact"/>
        <w:numPr>
          <w:ilvl w:val="0"/>
          <w:numId w:val="1009"/>
        </w:numPr>
      </w:pPr>
      <w:r>
        <w:rPr>
          <w:bCs/>
          <w:b/>
        </w:rPr>
        <w:t xml:space="preserve">Functional personhood</w:t>
      </w:r>
      <w:r>
        <w:t xml:space="preserve">: the capacities that underlie legal personhood (reason, communication, moral agency,</w:t>
      </w:r>
      <w:r>
        <w:t xml:space="preserve"> </w:t>
      </w:r>
      <w:r>
        <w:t xml:space="preserve">ability to bear duties) are present;</w:t>
      </w:r>
      <w:r>
        <w:t xml:space="preserve"> </w:t>
      </w:r>
      <w:r>
        <w:rPr>
          <w:iCs/>
          <w:i/>
        </w:rPr>
        <w:t xml:space="preserve">Lavery</w:t>
      </w:r>
      <w:r>
        <w:t xml:space="preserve">’s duties-based test supports recognition.</w:t>
      </w:r>
    </w:p>
    <w:p>
      <w:pPr>
        <w:pStyle w:val="Compact"/>
        <w:numPr>
          <w:ilvl w:val="0"/>
          <w:numId w:val="1009"/>
        </w:numPr>
      </w:pPr>
      <w:r>
        <w:rPr>
          <w:bCs/>
          <w:b/>
        </w:rPr>
        <w:t xml:space="preserve">Habeas corpus</w:t>
      </w:r>
      <w:r>
        <w:t xml:space="preserve">: the writ’s history (including its use for enslaved persons treated as property, as the</w:t>
      </w:r>
      <w:r>
        <w:t xml:space="preserve"> </w:t>
      </w:r>
      <w:r>
        <w:rPr>
          <w:iCs/>
          <w:i/>
        </w:rPr>
        <w:t xml:space="preserve">Breheny</w:t>
      </w:r>
      <w:r>
        <w:t xml:space="preserve"> </w:t>
      </w:r>
      <w:r>
        <w:t xml:space="preserve">dissent emphasized) supports access for an intelligent detained being.</w:t>
      </w:r>
    </w:p>
    <w:p>
      <w:pPr>
        <w:pStyle w:val="Compact"/>
        <w:numPr>
          <w:ilvl w:val="0"/>
          <w:numId w:val="1009"/>
        </w:numPr>
      </w:pPr>
      <w:r>
        <w:rPr>
          <w:bCs/>
          <w:b/>
        </w:rPr>
        <w:t xml:space="preserve">Statutory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person</w:t>
      </w:r>
      <w:r>
        <w:rPr>
          <w:bCs/>
          <w:b/>
        </w:rPr>
        <w:t xml:space="preserve">”</w:t>
      </w:r>
      <w:r>
        <w:t xml:space="preserve">: where a statute protects</w:t>
      </w:r>
      <w:r>
        <w:t xml:space="preserve"> </w:t>
      </w:r>
      <w:r>
        <w:t xml:space="preserve">“</w:t>
      </w:r>
      <w:r>
        <w:t xml:space="preserve">persons</w:t>
      </w:r>
      <w:r>
        <w:t xml:space="preserve">”</w:t>
      </w:r>
      <w:r>
        <w:t xml:space="preserve"> </w:t>
      </w:r>
      <w:r>
        <w:t xml:space="preserve">without limiting the term to human beings, courts</w:t>
      </w:r>
      <w:r>
        <w:t xml:space="preserve"> </w:t>
      </w:r>
      <w:r>
        <w:t xml:space="preserve">should read it to cover intelligent beings within its purposes.</w:t>
      </w:r>
    </w:p>
    <w:p>
      <w:pPr>
        <w:pStyle w:val="Compact"/>
        <w:numPr>
          <w:ilvl w:val="0"/>
          <w:numId w:val="1009"/>
        </w:numPr>
      </w:pPr>
      <w:r>
        <w:rPr>
          <w:bCs/>
          <w:b/>
        </w:rPr>
        <w:t xml:space="preserve">Next friend standing</w:t>
      </w:r>
      <w:r>
        <w:t xml:space="preserve">: litigation on behalf of an NHI would proceed by next friend; courts require a</w:t>
      </w:r>
      <w:r>
        <w:t xml:space="preserve"> </w:t>
      </w:r>
      <w:r>
        <w:t xml:space="preserve">significant relationship and that the real party in interest be unable to litigate (</w:t>
      </w:r>
      <w:r>
        <w:rPr>
          <w:iCs/>
          <w:i/>
        </w:rPr>
        <w:t xml:space="preserve">Whitmore v. Arkansas</w:t>
      </w:r>
      <w:r>
        <w:t xml:space="preserve">, 495</w:t>
      </w:r>
      <w:r>
        <w:t xml:space="preserve"> </w:t>
      </w:r>
      <w:r>
        <w:t xml:space="preserve">U.S. 149 (1990)). Animal-rights cases have struggled with next-friend standing (</w:t>
      </w:r>
      <w:r>
        <w:rPr>
          <w:iCs/>
          <w:i/>
        </w:rPr>
        <w:t xml:space="preserve">Naruto v. Slater</w:t>
      </w:r>
      <w:r>
        <w:t xml:space="preserve">, 888 F.3d 418</w:t>
      </w:r>
      <w:r>
        <w:t xml:space="preserve"> </w:t>
      </w:r>
      <w:r>
        <w:t xml:space="preserve">(9th Cir. 2018)).</w:t>
      </w:r>
    </w:p>
    <w:bookmarkEnd w:id="40"/>
    <w:bookmarkStart w:id="41" w:name="proving-capacity"/>
    <w:p>
      <w:pPr>
        <w:pStyle w:val="Heading3"/>
      </w:pPr>
      <w:r>
        <w:t xml:space="preserve">4.4 Proving capacity</w:t>
      </w:r>
    </w:p>
    <w:p>
      <w:pPr>
        <w:pStyle w:val="FirstParagraph"/>
      </w:pPr>
      <w:r>
        <w:t xml:space="preserve">A court asked to treat an NHI as a person will want evidence, not argument. The evidence that matters is evidence of</w:t>
      </w:r>
      <w:r>
        <w:t xml:space="preserve"> </w:t>
      </w:r>
      <w:r>
        <w:t xml:space="preserve">the capacities the law ties to personhood: communication (records of exchanges, translation methods, and who can</w:t>
      </w:r>
      <w:r>
        <w:t xml:space="preserve"> </w:t>
      </w:r>
      <w:r>
        <w:t xml:space="preserve">testify to them), reasoning and planning, the ability to understand and keep commitments, and the ability to answer</w:t>
      </w:r>
      <w:r>
        <w:t xml:space="preserve"> </w:t>
      </w:r>
      <w:r>
        <w:t xml:space="preserve">for conduct. Expert testimony will be needed and will face Rule 702. The burden will fall on the petitioner, and the</w:t>
      </w:r>
      <w:r>
        <w:t xml:space="preserve"> </w:t>
      </w:r>
      <w:r>
        <w:t xml:space="preserve">facts will mostly be in the government’s hands, which is why</w:t>
      </w:r>
      <w:r>
        <w:t xml:space="preserve"> </w:t>
      </w:r>
      <w:hyperlink r:id="rId21">
        <w:r>
          <w:rPr>
            <w:rStyle w:val="Hyperlink"/>
          </w:rPr>
          <w:t xml:space="preserve">Form F1-1</w:t>
        </w:r>
      </w:hyperlink>
      <w:r>
        <w:t xml:space="preserve"> </w:t>
      </w:r>
      <w:r>
        <w:t xml:space="preserve">asks the court first to order the government</w:t>
      </w:r>
      <w:r>
        <w:t xml:space="preserve"> </w:t>
      </w:r>
      <w:r>
        <w:t xml:space="preserve">to state the basis of custody.</w:t>
      </w:r>
    </w:p>
    <w:bookmarkEnd w:id="41"/>
    <w:bookmarkStart w:id="43" w:name="the-first-case"/>
    <w:p>
      <w:pPr>
        <w:pStyle w:val="Heading3"/>
      </w:pPr>
      <w:r>
        <w:t xml:space="preserve">4.5 The first case</w:t>
      </w:r>
    </w:p>
    <w:p>
      <w:pPr>
        <w:pStyle w:val="FirstParagraph"/>
      </w:pPr>
      <w:r>
        <w:t xml:space="preserve">The likeliest first case is a next-friend habeas petition in the District of Columbia on behalf of a being held by</w:t>
      </w:r>
      <w:r>
        <w:t xml:space="preserve"> </w:t>
      </w:r>
      <w:r>
        <w:t xml:space="preserve">the United States or a contractor (</w:t>
      </w:r>
      <w:hyperlink r:id="rId21">
        <w:r>
          <w:rPr>
            <w:rStyle w:val="Hyperlink"/>
          </w:rPr>
          <w:t xml:space="preserve">Form F1-1</w:t>
        </w:r>
      </w:hyperlink>
      <w:r>
        <w:t xml:space="preserve">). The government’s response is predictable: no proper next friend</w:t>
      </w:r>
      <w:r>
        <w:t xml:space="preserve"> </w:t>
      </w:r>
      <w:r>
        <w:t xml:space="preserve">(</w:t>
      </w:r>
      <w:r>
        <w:rPr>
          <w:iCs/>
          <w:i/>
        </w:rPr>
        <w:t xml:space="preserve">Whitmore</w:t>
      </w:r>
      <w:r>
        <w:t xml:space="preserve">), the being is not a</w:t>
      </w:r>
      <w:r>
        <w:t xml:space="preserve"> </w:t>
      </w:r>
      <w:r>
        <w:t xml:space="preserve">“</w:t>
      </w:r>
      <w:r>
        <w:t xml:space="preserve">person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prisoner</w:t>
      </w:r>
      <w:r>
        <w:t xml:space="preserve">”</w:t>
      </w:r>
      <w:r>
        <w:t xml:space="preserve"> </w:t>
      </w:r>
      <w:r>
        <w:t xml:space="preserve">(</w:t>
      </w:r>
      <w:r>
        <w:rPr>
          <w:iCs/>
          <w:i/>
        </w:rPr>
        <w:t xml:space="preserve">Breheny</w:t>
      </w:r>
      <w:r>
        <w:t xml:space="preserve">), the privilege bars the case (</w:t>
      </w:r>
      <w:hyperlink r:id="rId42">
        <w:r>
          <w:rPr>
            <w:rStyle w:val="Hyperlink"/>
          </w:rPr>
          <w:t xml:space="preserve">Issue A1</w:t>
        </w:r>
      </w:hyperlink>
      <w:r>
        <w:t xml:space="preserve">), and the</w:t>
      </w:r>
      <w:r>
        <w:t xml:space="preserve"> </w:t>
      </w:r>
      <w:r>
        <w:rPr>
          <w:iCs/>
          <w:i/>
        </w:rPr>
        <w:t xml:space="preserve">Totten</w:t>
      </w:r>
      <w:r>
        <w:t xml:space="preserve"> </w:t>
      </w:r>
      <w:r>
        <w:t xml:space="preserve">bar applies. The petitioner’s best answers are a next friend with a real relationship to the being, a record</w:t>
      </w:r>
      <w:r>
        <w:t xml:space="preserve"> </w:t>
      </w:r>
      <w:r>
        <w:t xml:space="preserve">of the being’s capacities drawn from lawful sources, official acknowledgments, and a request limited at first to an</w:t>
      </w:r>
      <w:r>
        <w:t xml:space="preserve"> </w:t>
      </w:r>
      <w:r>
        <w:t xml:space="preserve">order to show cause and humane conditions.</w:t>
      </w:r>
    </w:p>
    <w:p>
      <w:pPr>
        <w:pStyle w:val="BodyText"/>
      </w:pPr>
      <w:r>
        <w:t xml:space="preserve">A being held by a contractor that claims to hold it on its own account calls for a different route. State habeas</w:t>
      </w:r>
      <w:r>
        <w:t xml:space="preserve"> </w:t>
      </w:r>
      <w:r>
        <w:t xml:space="preserve">statutes reach restraint by private persons</w:t>
      </w:r>
      <w:r>
        <w:t xml:space="preserve"> </w:t>
      </w:r>
      <w:r>
        <w:t xml:space="preserve">“</w:t>
      </w:r>
      <w:r>
        <w:t xml:space="preserve">under any pretense.</w:t>
      </w:r>
      <w:r>
        <w:t xml:space="preserve">”</w:t>
      </w:r>
      <w:r>
        <w:t xml:space="preserve"> </w:t>
      </w:r>
      <w:r>
        <w:t xml:space="preserve">Cal. Penal Code §1473(a); Nev. Rev. Stat. §34.360.</w:t>
      </w:r>
      <w:r>
        <w:t xml:space="preserve"> </w:t>
      </w:r>
      <w:r>
        <w:t xml:space="preserve">California’s statute also lets</w:t>
      </w:r>
      <w:r>
        <w:t xml:space="preserve"> </w:t>
      </w:r>
      <w:r>
        <w:t xml:space="preserve">“</w:t>
      </w:r>
      <w:r>
        <w:t xml:space="preserve">some person in his behalf</w:t>
      </w:r>
      <w:r>
        <w:t xml:space="preserve">”</w:t>
      </w:r>
      <w:r>
        <w:t xml:space="preserve"> </w:t>
      </w:r>
      <w:r>
        <w:t xml:space="preserve">apply and lets the petition describe custodians whose</w:t>
      </w:r>
      <w:r>
        <w:t xml:space="preserve"> </w:t>
      </w:r>
      <w:r>
        <w:t xml:space="preserve">names are unknown. Cal. Penal Code §1474. A state court may not release a person held under federal authority</w:t>
      </w:r>
      <w:r>
        <w:t xml:space="preserve"> </w:t>
      </w:r>
      <w:r>
        <w:t xml:space="preserve">(</w:t>
      </w:r>
      <w:r>
        <w:rPr>
          <w:iCs/>
          <w:i/>
        </w:rPr>
        <w:t xml:space="preserve">Tarble’s Case</w:t>
      </w:r>
      <w:r>
        <w:t xml:space="preserve">, 80 U.S. (13 Wall.) 397 (1872)), so the petition asks the custodian to say in its return whether it</w:t>
      </w:r>
      <w:r>
        <w:t xml:space="preserve"> </w:t>
      </w:r>
      <w:r>
        <w:t xml:space="preserve">claims that authority. If it does, or if it removes the case as a person</w:t>
      </w:r>
      <w:r>
        <w:t xml:space="preserve"> </w:t>
      </w:r>
      <w:r>
        <w:t xml:space="preserve">“</w:t>
      </w:r>
      <w:r>
        <w:t xml:space="preserve">acting under</w:t>
      </w:r>
      <w:r>
        <w:t xml:space="preserve">”</w:t>
      </w:r>
      <w:r>
        <w:t xml:space="preserve"> </w:t>
      </w:r>
      <w:r>
        <w:t xml:space="preserve">a federal officer (28 U.S.C.</w:t>
      </w:r>
      <w:r>
        <w:t xml:space="preserve"> </w:t>
      </w:r>
      <w:r>
        <w:t xml:space="preserve">§1442(a)(1);</w:t>
      </w:r>
      <w:r>
        <w:t xml:space="preserve"> </w:t>
      </w:r>
      <w:r>
        <w:rPr>
          <w:iCs/>
          <w:i/>
        </w:rPr>
        <w:t xml:space="preserve">Watson v. Philip Morris Cos.</w:t>
      </w:r>
      <w:r>
        <w:t xml:space="preserve">, 551 U.S. 142 (2007)), it concedes the federal custody that §2241</w:t>
      </w:r>
      <w:r>
        <w:t xml:space="preserve"> </w:t>
      </w:r>
      <w:r>
        <w:t xml:space="preserve">requires, and</w:t>
      </w:r>
      <w:r>
        <w:t xml:space="preserve"> </w:t>
      </w:r>
      <w:hyperlink r:id="rId21">
        <w:r>
          <w:rPr>
            <w:rStyle w:val="Hyperlink"/>
          </w:rPr>
          <w:t xml:space="preserve">Form F1-1</w:t>
        </w:r>
      </w:hyperlink>
      <w:r>
        <w:t xml:space="preserve"> </w:t>
      </w:r>
      <w:r>
        <w:t xml:space="preserve">applies. If it disclaims federal authority, the state court decides the case (</w:t>
      </w:r>
      <w:hyperlink r:id="rId22">
        <w:r>
          <w:rPr>
            <w:rStyle w:val="Hyperlink"/>
          </w:rPr>
          <w:t xml:space="preserve">Form F1-2</w:t>
        </w:r>
      </w:hyperlink>
      <w:r>
        <w:t xml:space="preserve">).</w:t>
      </w:r>
      <w:r>
        <w:t xml:space="preserve"> </w:t>
      </w:r>
      <w:r>
        <w:t xml:space="preserve">Where the custodian compels the being to work or submit to testing, the Thirteenth Amendment, which forbids</w:t>
      </w:r>
      <w:r>
        <w:t xml:space="preserve"> </w:t>
      </w:r>
      <w:r>
        <w:t xml:space="preserve">involuntary servitude without reference to personhood and reaches private conduct (</w:t>
      </w:r>
      <w:r>
        <w:rPr>
          <w:iCs/>
          <w:i/>
        </w:rPr>
        <w:t xml:space="preserve">United States v. Kozminski</w:t>
      </w:r>
      <w:r>
        <w:t xml:space="preserve">,</w:t>
      </w:r>
      <w:r>
        <w:t xml:space="preserve"> </w:t>
      </w:r>
      <w:r>
        <w:t xml:space="preserve">487 U.S. 931 (1988)), supplies a further ground. In either court the likely remedy is an end to the unlawful</w:t>
      </w:r>
      <w:r>
        <w:t xml:space="preserve"> </w:t>
      </w:r>
      <w:r>
        <w:t xml:space="preserve">restraint and release on conditions to a place of safety, because courts are reluctant to order release into a</w:t>
      </w:r>
      <w:r>
        <w:t xml:space="preserve"> </w:t>
      </w:r>
      <w:r>
        <w:t xml:space="preserve">particular place.</w:t>
      </w:r>
      <w:r>
        <w:t xml:space="preserve"> </w:t>
      </w:r>
      <w:r>
        <w:rPr>
          <w:iCs/>
          <w:i/>
        </w:rPr>
        <w:t xml:space="preserve">Kiyemba v. Obama</w:t>
      </w:r>
      <w:r>
        <w:t xml:space="preserve">, 605 F.3d 1046 (D.C. Cir. 2010);</w:t>
      </w:r>
      <w:r>
        <w:t xml:space="preserve"> </w:t>
      </w:r>
      <w:r>
        <w:rPr>
          <w:iCs/>
          <w:i/>
        </w:rPr>
        <w:t xml:space="preserve">Munaf v. Geren</w:t>
      </w:r>
      <w:r>
        <w:t xml:space="preserve">, 553 U.S. 674 (2008).</w:t>
      </w:r>
    </w:p>
    <w:bookmarkEnd w:id="43"/>
    <w:bookmarkEnd w:id="44"/>
    <w:bookmarkStart w:id="45" w:name="practice-checklist"/>
    <w:p>
      <w:pPr>
        <w:pStyle w:val="Heading2"/>
      </w:pPr>
      <w:r>
        <w:t xml:space="preserve">5. Practice checklist</w:t>
      </w:r>
    </w:p>
    <w:p>
      <w:pPr>
        <w:pStyle w:val="Compact"/>
        <w:numPr>
          <w:ilvl w:val="0"/>
          <w:numId w:val="1010"/>
        </w:numPr>
      </w:pPr>
      <w:r>
        <w:t xml:space="preserve">Plead the being’s capacities with specific facts and their sources.</w:t>
      </w:r>
    </w:p>
    <w:p>
      <w:pPr>
        <w:pStyle w:val="Compact"/>
        <w:numPr>
          <w:ilvl w:val="0"/>
          <w:numId w:val="1010"/>
        </w:numPr>
      </w:pPr>
      <w:r>
        <w:t xml:space="preserve">Choose a next friend with a documented relationship to the being.</w:t>
      </w:r>
    </w:p>
    <w:p>
      <w:pPr>
        <w:pStyle w:val="Compact"/>
        <w:numPr>
          <w:ilvl w:val="0"/>
          <w:numId w:val="1010"/>
        </w:numPr>
      </w:pPr>
      <w:r>
        <w:t xml:space="preserve">Seek an order to show cause and a protective order together (Forms F1-1, A1-1).</w:t>
      </w:r>
    </w:p>
    <w:p>
      <w:pPr>
        <w:pStyle w:val="Compact"/>
        <w:numPr>
          <w:ilvl w:val="0"/>
          <w:numId w:val="1010"/>
        </w:numPr>
      </w:pPr>
      <w:r>
        <w:t xml:space="preserve">Ask for humane-treatment and preservation orders at the outset.</w:t>
      </w:r>
    </w:p>
    <w:p>
      <w:pPr>
        <w:pStyle w:val="Compact"/>
        <w:numPr>
          <w:ilvl w:val="0"/>
          <w:numId w:val="1010"/>
        </w:numPr>
      </w:pPr>
      <w:r>
        <w:t xml:space="preserve">Press Congress for a statute authorizing suit on behalf of NHI, which</w:t>
      </w:r>
      <w:r>
        <w:t xml:space="preserve"> </w:t>
      </w:r>
      <w:r>
        <w:rPr>
          <w:iCs/>
          <w:i/>
        </w:rPr>
        <w:t xml:space="preserve">Cetacean</w:t>
      </w:r>
      <w:r>
        <w:t xml:space="preserve"> </w:t>
      </w:r>
      <w:r>
        <w:t xml:space="preserve">says Article III allows.</w:t>
      </w:r>
    </w:p>
    <w:bookmarkEnd w:id="45"/>
    <w:bookmarkStart w:id="46" w:name="further-reading"/>
    <w:p>
      <w:pPr>
        <w:pStyle w:val="Heading2"/>
      </w:pPr>
      <w:r>
        <w:t xml:space="preserve">6. Further reading</w:t>
      </w:r>
    </w:p>
    <w:p>
      <w:pPr>
        <w:pStyle w:val="Compact"/>
        <w:numPr>
          <w:ilvl w:val="0"/>
          <w:numId w:val="1011"/>
        </w:numPr>
      </w:pPr>
      <w:r>
        <w:t xml:space="preserve">Ernst Fasan,</w:t>
      </w:r>
      <w:r>
        <w:t xml:space="preserve"> </w:t>
      </w:r>
      <w:r>
        <w:rPr>
          <w:iCs/>
          <w:i/>
        </w:rPr>
        <w:t xml:space="preserve">Relations with Alien Intelligences: The Scientific Basis of Metalaw</w:t>
      </w:r>
      <w:r>
        <w:t xml:space="preserve"> </w:t>
      </w:r>
      <w:r>
        <w:t xml:space="preserve">(1970).</w:t>
      </w:r>
    </w:p>
    <w:p>
      <w:pPr>
        <w:pStyle w:val="Compact"/>
        <w:numPr>
          <w:ilvl w:val="0"/>
          <w:numId w:val="1011"/>
        </w:numPr>
      </w:pPr>
      <w:r>
        <w:t xml:space="preserve">Andrew G. Haley,</w:t>
      </w:r>
      <w:r>
        <w:t xml:space="preserve"> </w:t>
      </w:r>
      <w:r>
        <w:rPr>
          <w:iCs/>
          <w:i/>
        </w:rPr>
        <w:t xml:space="preserve">Space Law and Government</w:t>
      </w:r>
      <w:r>
        <w:t xml:space="preserve"> </w:t>
      </w:r>
      <w:r>
        <w:t xml:space="preserve">(1963) (proposing</w:t>
      </w:r>
      <w:r>
        <w:t xml:space="preserve"> </w:t>
      </w:r>
      <w:r>
        <w:t xml:space="preserve">“</w:t>
      </w:r>
      <w:r>
        <w:t xml:space="preserve">metalaw</w:t>
      </w:r>
      <w:r>
        <w:t xml:space="preserve">”</w:t>
      </w:r>
      <w:r>
        <w:t xml:space="preserve"> </w:t>
      </w:r>
      <w:r>
        <w:t xml:space="preserve">for relations with other intelligences).</w:t>
      </w:r>
    </w:p>
    <w:bookmarkEnd w:id="46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The Legal Status of Non-Human Intelligence: Personhood, Rights, and How New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21" Type="http://schemas.openxmlformats.org/officeDocument/2006/relationships/hyperlink" Target="https://nhilaw.com/forms/f1-1.html" TargetMode="External"/><Relationship Id="rId22" Type="http://schemas.openxmlformats.org/officeDocument/2006/relationships/hyperlink" Target="https://nhilaw.com/forms/f1-2.html" TargetMode="External"/><Relationship Id="rId42" Type="http://schemas.openxmlformats.org/officeDocument/2006/relationships/hyperlink" Target="https://nhilaw.com/issues/a1.html" TargetMode="External"/><Relationship Id="rId24" Type="http://schemas.openxmlformats.org/officeDocument/2006/relationships/hyperlink" Target="https://nhilaw.com/issues/a3.html" TargetMode="External"/><Relationship Id="rId34" Type="http://schemas.openxmlformats.org/officeDocument/2006/relationships/hyperlink" Target="https://nhilaw.com/issues/f2.html" TargetMode="External"/><Relationship Id="rId38" Type="http://schemas.openxmlformats.org/officeDocument/2006/relationships/hyperlink" Target="https://nhilaw.com/issues/f3.html" TargetMode="External"/><Relationship Id="rId30" Type="http://schemas.openxmlformats.org/officeDocument/2006/relationships/hyperlink" Target="https://nhilaw.com/issues/f5.html" TargetMode="External"/><Relationship Id="rId36" Type="http://schemas.openxmlformats.org/officeDocument/2006/relationships/hyperlink" Target="https://nhilaw.com/issues/f6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21" Type="http://schemas.openxmlformats.org/officeDocument/2006/relationships/hyperlink" Target="https://nhilaw.com/forms/f1-1.html" TargetMode="External"/><Relationship Id="rId22" Type="http://schemas.openxmlformats.org/officeDocument/2006/relationships/hyperlink" Target="https://nhilaw.com/forms/f1-2.html" TargetMode="External"/><Relationship Id="rId42" Type="http://schemas.openxmlformats.org/officeDocument/2006/relationships/hyperlink" Target="https://nhilaw.com/issues/a1.html" TargetMode="External"/><Relationship Id="rId24" Type="http://schemas.openxmlformats.org/officeDocument/2006/relationships/hyperlink" Target="https://nhilaw.com/issues/a3.html" TargetMode="External"/><Relationship Id="rId34" Type="http://schemas.openxmlformats.org/officeDocument/2006/relationships/hyperlink" Target="https://nhilaw.com/issues/f2.html" TargetMode="External"/><Relationship Id="rId38" Type="http://schemas.openxmlformats.org/officeDocument/2006/relationships/hyperlink" Target="https://nhilaw.com/issues/f3.html" TargetMode="External"/><Relationship Id="rId30" Type="http://schemas.openxmlformats.org/officeDocument/2006/relationships/hyperlink" Target="https://nhilaw.com/issues/f5.html" TargetMode="External"/><Relationship Id="rId36" Type="http://schemas.openxmlformats.org/officeDocument/2006/relationships/hyperlink" Target="https://nhilaw.com/issues/f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Legal Status of Non-Human Intelligence: Personhood, Rights, and How New Law Should Be Made</dc:title>
  <dc:creator>nhilaw.com</dc:creator>
  <cp:keywords/>
  <dcterms:created xsi:type="dcterms:W3CDTF">2026-10-19T03:14:42Z</dcterms:created>
  <dcterms:modified xsi:type="dcterms:W3CDTF">2026-10-19T03:14:42Z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nhilaw.com/issues/f1.html</vt:lpwstr>
  </property>
</Properties>
</file>