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3" w:name="Xb031ecde3d2d83d480332061f26844f07e4183f"/>
    <w:p>
      <w:pPr>
        <w:pStyle w:val="Heading1"/>
        <w:suppressLineNumbers/>
      </w:pPr>
      <w:r>
        <w:t xml:space="preserve">Form F2-1. Model Statute: Interim Protection of Non-Human Intelligence in United States Custody or Control</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https://nhilaw.com/forms/f2-1.html</w:t>
      </w:r>
    </w:p>
    <w:p>
      <w:pPr>
        <w:pStyle w:val="BodyText"/>
        <w:suppressLineNumbers/>
        <w:spacing w:after="160" w:line="259" w:lineRule="auto"/>
      </w:pPr>
      <w:r>
        <w:rPr>
          <w:bCs/>
          <w:b/>
        </w:rPr>
        <w:t xml:space="preserve">When to use.</w:t>
      </w:r>
      <w:r>
        <w:t xml:space="preserve"> </w:t>
      </w:r>
      <w:r>
        <w:t xml:space="preserve">Legislators drafting interim protections for NHI in U.S. custody or control.</w:t>
      </w:r>
      <w:r>
        <w:t xml:space="preserve"> </w:t>
      </w:r>
      <w:r>
        <w:rPr>
          <w:bCs/>
          <w:b/>
        </w:rPr>
        <w:t xml:space="preserve">Not for:</w:t>
      </w:r>
      <w:r>
        <w:t xml:space="preserve"> </w:t>
      </w:r>
      <w:r>
        <w:t xml:space="preserve">Questions of NHI legal status generally (</w:t>
      </w:r>
      <w:hyperlink r:id="rId20">
        <w:r>
          <w:rPr>
            <w:rStyle w:val="Hyperlink"/>
          </w:rPr>
          <w:t xml:space="preserve">Issue F1</w:t>
        </w:r>
      </w:hyperlink>
      <w:r>
        <w:t xml:space="preserve">).</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tbl>
      <w:tblPr>
        <w:tblW w:type="auto" w:w="0"/>
        <w:tblLook w:firstColumn="1" w:firstRow="1" w:lastColumn="0" w:lastRow="0" w:noHBand="0" w:noVBand="1" w:val="04A0"/>
      </w:tblPr>
      <w:tblGrid>
        <w:gridCol w:w="4680"/>
        <w:gridCol w:w="4680"/>
      </w:tblGrid>
      <w:tr>
        <w:tc>
          <w:tcPr>
            <w:tcW w:type="dxa" w:w="4608"/>
          </w:tcPr>
          <w:p>
            <w:r>
              <w:rPr>
                <w:rFonts w:ascii="Century Schoolbook" w:hAnsi="Century Schoolbook" w:cs="Century Schoolbook" w:eastAsia="Century Schoolbook"/>
                <w:smallCaps/>
                <w:sz w:val="24"/>
              </w:rPr>
              <w:t>[___]TH CONGRESS</w:t>
            </w:r>
          </w:p>
          <w:p>
            <w:r>
              <w:rPr>
                <w:rFonts w:ascii="Century Schoolbook" w:hAnsi="Century Schoolbook" w:cs="Century Schoolbook" w:eastAsia="Century Schoolbook"/>
                <w:smallCaps/>
                <w:sz w:val="24"/>
              </w:rPr>
              <w:t>[___] SESSION</w:t>
            </w:r>
          </w:p>
        </w:tc>
        <w:tc>
          <w:tcPr>
            <w:tcW w:type="dxa" w:w="4752"/>
          </w:tcPr>
          <w:p>
            <w:pPr>
              <w:jc w:val="right"/>
            </w:pPr>
            <w:r>
              <w:rPr>
                <w:rFonts w:ascii="Century Schoolbook" w:hAnsi="Century Schoolbook" w:cs="Century Schoolbook" w:eastAsia="Century Schoolbook"/>
                <w:b/>
                <w:sz w:val="52"/>
              </w:rPr>
              <w:t>H. R. [____]</w:t>
            </w:r>
          </w:p>
        </w:tc>
      </w:tr>
    </w:tbl>
    <w:p>
      <w:pPr>
        <w:suppressLineNumbers/>
      </w:pPr>
    </w:p>
    <w:p>
      <w:pPr>
        <w:suppressLineNumbers/>
        <w:pBdr>
          <w:bottom w:val="single" w:sz="8" w:space="6" w:color="000000"/>
        </w:pBdr>
        <w:spacing w:before="200" w:after="200"/>
        <w:jc w:val="center"/>
      </w:pPr>
      <w:r>
        <w:rPr>
          <w:rFonts w:ascii="Century Schoolbook" w:hAnsi="Century Schoolbook" w:cs="Century Schoolbook" w:eastAsia="Century Schoolbook"/>
          <w:b w:val="0"/>
          <w:i w:val="0"/>
          <w:smallCaps w:val="0"/>
          <w:sz w:val="22"/>
        </w:rPr>
        <w:t>To protect non-human intelligences from killing, torture, and cruel treatment by officers, employees, and contractors of the United States, and for other purposes.</w:t>
      </w:r>
    </w:p>
    <w:p>
      <w:pPr>
        <w:suppressLineNumbers/>
        <w:spacing w:before="280" w:after="160"/>
        <w:jc w:val="center"/>
      </w:pPr>
      <w:r>
        <w:rPr>
          <w:rFonts w:ascii="Century Schoolbook" w:hAnsi="Century Schoolbook" w:cs="Century Schoolbook" w:eastAsia="Century Schoolbook"/>
          <w:b w:val="0"/>
          <w:i w:val="0"/>
          <w:smallCaps w:val="0"/>
          <w:sz w:val="24"/>
        </w:rPr>
        <w:t>IN THE HOUSE OF REPRESENTATIVES</w:t>
      </w:r>
    </w:p>
    <w:p>
      <w:pPr>
        <w:suppressLineNumbers/>
        <w:spacing w:before="0" w:after="160"/>
        <w:jc w:val="center"/>
      </w:pPr>
      <w:r>
        <w:rPr>
          <w:rFonts w:ascii="Century Schoolbook" w:hAnsi="Century Schoolbook" w:cs="Century Schoolbook" w:eastAsia="Century Schoolbook"/>
          <w:b w:val="0"/>
          <w:i w:val="0"/>
          <w:smallCaps w:val="0"/>
          <w:sz w:val="22"/>
        </w:rPr>
        <w:t>[MONTH DAY], [YEAR]</w:t>
      </w:r>
    </w:p>
    <w:p>
      <w:pPr>
        <w:suppressLineNumbers/>
        <w:pBdr>
          <w:bottom w:val="single" w:sz="8" w:space="6" w:color="000000"/>
        </w:pBdr>
        <w:spacing w:before="0" w:after="200"/>
        <w:ind w:left="720"/>
      </w:pPr>
      <w:r>
        <w:rPr>
          <w:rFonts w:ascii="Century Schoolbook" w:hAnsi="Century Schoolbook" w:cs="Century Schoolbook" w:eastAsia="Century Schoolbook"/>
          <w:smallCaps/>
          <w:sz w:val="22"/>
        </w:rPr>
        <w:t>[Mr./Ms. ________]</w:t>
      </w:r>
      <w:r>
        <w:rPr>
          <w:rFonts w:ascii="Century Schoolbook" w:hAnsi="Century Schoolbook" w:cs="Century Schoolbook" w:eastAsia="Century Schoolbook"/>
          <w:sz w:val="22"/>
        </w:rPr>
        <w:t xml:space="preserve"> (for [himself/herself and ________]) introduced the following bill; which was referred to the Committee on [________]</w:t>
      </w:r>
    </w:p>
    <w:p>
      <w:pPr>
        <w:suppressLineNumbers/>
        <w:spacing w:before="440" w:after="200"/>
        <w:jc w:val="center"/>
      </w:pPr>
      <w:r>
        <w:rPr>
          <w:rFonts w:ascii="Century Schoolbook" w:hAnsi="Century Schoolbook" w:cs="Century Schoolbook" w:eastAsia="Century Schoolbook"/>
          <w:b/>
          <w:i w:val="0"/>
          <w:smallCaps w:val="0"/>
          <w:sz w:val="52"/>
        </w:rPr>
        <w:t>A BILL</w:t>
      </w:r>
    </w:p>
    <w:p>
      <w:pPr>
        <w:suppressLineNumbers/>
        <w:pBdr>
          <w:bottom w:val="single" w:sz="8" w:space="6" w:color="000000"/>
        </w:pBdr>
        <w:spacing w:before="0" w:after="240"/>
        <w:ind w:left="1152" w:right="1152"/>
        <w:jc w:val="center"/>
      </w:pPr>
      <w:r>
        <w:rPr>
          <w:rFonts w:ascii="Century Schoolbook" w:hAnsi="Century Schoolbook" w:cs="Century Schoolbook" w:eastAsia="Century Schoolbook"/>
          <w:b w:val="0"/>
          <w:i w:val="0"/>
          <w:smallCaps w:val="0"/>
          <w:sz w:val="24"/>
        </w:rPr>
        <w:t>To protect non-human intelligences from killing, torture, and cruel treatment by officers, employees, and contractors of the United States, and for other purposes.</w:t>
      </w:r>
    </w:p>
    <w:p>
      <w:pPr>
        <w:suppressLineNumbers/>
        <w:spacing w:before="0" w:after="0"/>
      </w:pPr>
      <w:r>
        <w:br w:type="page"/>
      </w:r>
    </w:p>
    <w:p>
      <w:pPr>
        <w:spacing w:lineRule="exact" w:line="480" w:before="0" w:after="0"/>
        <w:ind w:firstLine="720"/>
      </w:pPr>
      <w:r>
        <w:rPr>
          <w:rFonts w:ascii="Century Schoolbook" w:hAnsi="Century Schoolbook" w:cs="Century Schoolbook" w:eastAsia="Century Schoolbook"/>
          <w:b w:val="0"/>
          <w:i w:val="0"/>
          <w:sz w:val="24"/>
        </w:rPr>
        <w:t>Be it enacted by the Senate and House of Representatives of the United States of America in Congress assembled,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SHORT TITLE.</w:t>
      </w:r>
    </w:p>
    <w:p>
      <w:pPr>
        <w:spacing w:lineRule="exact" w:line="480" w:before="0" w:after="0"/>
        <w:ind w:firstLine="720"/>
        <w:jc w:val="both"/>
      </w:pPr>
      <w:r/>
      <w:r>
        <w:t xml:space="preserve">This section may be cited as the</w:t>
      </w:r>
      <w:r>
        <w:t xml:space="preserve"> </w:t>
      </w:r>
      <w:r>
        <w:t xml:space="preserve">“</w:t>
      </w:r>
      <w:r>
        <w:t xml:space="preserve">Non-Human Intelligence Interim Protection Act.</w:t>
      </w:r>
      <w:r>
        <w:t xml:space="preserv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FINDINGS.</w:t>
      </w:r>
    </w:p>
    <w:p>
      <w:pPr>
        <w:spacing w:lineRule="exact" w:line="480" w:before="0" w:after="0"/>
        <w:ind w:firstLine="720"/>
        <w:jc w:val="both"/>
      </w:pPr>
      <w:r/>
      <w:r>
        <w:t xml:space="preserve">Congress finds that—</w:t>
      </w:r>
    </w:p>
    <w:p>
      <w:pPr>
        <w:pStyle w:val="BodyText"/>
        <w:spacing w:lineRule="exact" w:line="480" w:before="0" w:after="0"/>
        <w:ind w:left="720" w:firstLine="720"/>
        <w:jc w:val="both"/>
      </w:pPr>
      <w:r>
        <w:t xml:space="preserve">(1) the Federal Government has defined non-human intelligence as any sentient intelligent non-human lifeform;</w:t>
      </w:r>
    </w:p>
    <w:p>
      <w:pPr>
        <w:pStyle w:val="BodyText"/>
        <w:spacing w:lineRule="exact" w:line="480" w:before="0" w:after="0"/>
        <w:ind w:left="720" w:firstLine="720"/>
        <w:jc w:val="both"/>
      </w:pPr>
      <w:r>
        <w:t xml:space="preserve">(2) beings with intelligence, communication, and moral agency are entitled to protection from killing, torture,</w:t>
      </w:r>
      <w:r>
        <w:t xml:space="preserve"> </w:t>
      </w:r>
      <w:r>
        <w:t xml:space="preserve">and cruel treatment; and</w:t>
      </w:r>
    </w:p>
    <w:p>
      <w:pPr>
        <w:pStyle w:val="BodyText"/>
        <w:spacing w:lineRule="exact" w:line="480" w:before="0" w:after="0"/>
        <w:ind w:left="720" w:firstLine="720"/>
        <w:jc w:val="both"/>
      </w:pPr>
      <w:r>
        <w:t xml:space="preserve">(3) the absence of clear law creates risk of grave abuses by officers, employees, and contractors of the United</w:t>
      </w:r>
      <w:r>
        <w:t xml:space="preserve"> </w:t>
      </w:r>
      <w:r>
        <w:t xml:space="preserve">States.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DEFINITIONS.</w:t>
      </w:r>
    </w:p>
    <w:p>
      <w:pPr>
        <w:spacing w:lineRule="exact" w:line="480" w:before="0" w:after="0"/>
        <w:ind w:firstLine="720"/>
        <w:jc w:val="both"/>
      </w:pPr>
      <w:r/>
      <w:r>
        <w:t xml:space="preserve">In this section—</w:t>
      </w:r>
    </w:p>
    <w:p>
      <w:pPr>
        <w:pStyle w:val="BodyText"/>
        <w:spacing w:lineRule="exact" w:line="480" w:before="0" w:after="0"/>
        <w:ind w:left="720" w:firstLine="720"/>
        <w:jc w:val="both"/>
      </w:pPr>
      <w:r>
        <w:t xml:space="preserve">(1)</w:t>
      </w:r>
      <w:r>
        <w:t xml:space="preserve"> </w:t>
      </w:r>
      <w:r>
        <w:t xml:space="preserve">“</w:t>
      </w:r>
      <w:r>
        <w:t xml:space="preserve">Non-human intelligence</w:t>
      </w:r>
      <w:r>
        <w:t xml:space="preserve">”</w:t>
      </w:r>
      <w:r>
        <w:t xml:space="preserve"> </w:t>
      </w:r>
      <w:r>
        <w:t xml:space="preserve">means any sentient intelligent non-human lifeform regardless of nature or ultimate</w:t>
      </w:r>
      <w:r>
        <w:t xml:space="preserve"> </w:t>
      </w:r>
      <w:r>
        <w:t xml:space="preserve">origin.</w:t>
      </w:r>
    </w:p>
    <w:p>
      <w:pPr>
        <w:pStyle w:val="BodyText"/>
        <w:spacing w:lineRule="exact" w:line="480" w:before="0" w:after="0"/>
        <w:ind w:left="720" w:firstLine="720"/>
        <w:jc w:val="both"/>
      </w:pPr>
      <w:r>
        <w:t xml:space="preserve">(2)</w:t>
      </w:r>
      <w:r>
        <w:t xml:space="preserve"> </w:t>
      </w:r>
      <w:r>
        <w:t xml:space="preserve">“</w:t>
      </w:r>
      <w:r>
        <w:t xml:space="preserve">Covered person</w:t>
      </w:r>
      <w:r>
        <w:t xml:space="preserve">”</w:t>
      </w:r>
      <w:r>
        <w:t xml:space="preserve"> </w:t>
      </w:r>
      <w:r>
        <w:t xml:space="preserve">means any officer, employee, member of the armed forces, or contractor or subcontractor</w:t>
      </w:r>
      <w:r>
        <w:t xml:space="preserve"> </w:t>
      </w:r>
      <w:r>
        <w:t xml:space="preserve">(at any tier) of the United States, and any person acting under the direction or with the authorization of any of</w:t>
      </w:r>
      <w:r>
        <w:t xml:space="preserve"> </w:t>
      </w:r>
      <w:r>
        <w:t xml:space="preserve">them.</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PROHIBITIONS.</w:t>
      </w:r>
    </w:p>
    <w:p>
      <w:pPr>
        <w:spacing w:lineRule="exact" w:line="480" w:before="0" w:after="0"/>
        <w:ind w:firstLine="720"/>
        <w:jc w:val="both"/>
      </w:pPr>
      <w:r/>
      <w:r>
        <w:t xml:space="preserve">No covered person shall, anywhere—</w:t>
      </w:r>
    </w:p>
    <w:p>
      <w:pPr>
        <w:pStyle w:val="BodyText"/>
        <w:spacing w:lineRule="exact" w:line="480" w:before="0" w:after="0"/>
        <w:ind w:left="720" w:firstLine="720"/>
        <w:jc w:val="both"/>
      </w:pPr>
      <w:r>
        <w:t xml:space="preserve">(1) kill a non-human intelligence, except in individual or collective self-defense against an imminent threat of</w:t>
      </w:r>
      <w:r>
        <w:t xml:space="preserve"> </w:t>
      </w:r>
      <w:r>
        <w:t xml:space="preserve">death or serious bodily injury, and then only to the extent necessary;</w:t>
      </w:r>
    </w:p>
    <w:p>
      <w:pPr>
        <w:pStyle w:val="BodyText"/>
        <w:spacing w:lineRule="exact" w:line="480" w:before="0" w:after="0"/>
        <w:ind w:left="720" w:firstLine="720"/>
        <w:jc w:val="both"/>
      </w:pPr>
      <w:r>
        <w:t xml:space="preserve">(2) commit torture or cruel, inhuman, or degrading treatment against a non-human intelligence within the custody</w:t>
      </w:r>
      <w:r>
        <w:t xml:space="preserve"> </w:t>
      </w:r>
      <w:r>
        <w:t xml:space="preserve">or physical control of the covered person or the United States;</w:t>
      </w:r>
    </w:p>
    <w:p>
      <w:pPr>
        <w:pStyle w:val="BodyText"/>
        <w:spacing w:lineRule="exact" w:line="480" w:before="0" w:after="0"/>
        <w:ind w:left="720" w:firstLine="720"/>
        <w:jc w:val="both"/>
      </w:pPr>
      <w:r>
        <w:t xml:space="preserve">(3) conduct any procedure, experiment, or examination on a living non-human intelligence without its informed</w:t>
      </w:r>
      <w:r>
        <w:t xml:space="preserve"> </w:t>
      </w:r>
      <w:r>
        <w:t xml:space="preserve">consent, where communication is possible, or otherwise without approval of the Review Panel established under</w:t>
      </w:r>
      <w:r>
        <w:t xml:space="preserve"> </w:t>
      </w:r>
      <w:r>
        <w:t xml:space="preserve">this section; or</w:t>
      </w:r>
    </w:p>
    <w:p>
      <w:pPr>
        <w:pStyle w:val="BodyText"/>
        <w:spacing w:lineRule="exact" w:line="480" w:before="0" w:after="0"/>
        <w:ind w:left="720" w:firstLine="720"/>
        <w:jc w:val="both"/>
      </w:pPr>
      <w:r>
        <w:t xml:space="preserve">(4) use force against a craft associated with non-human intelligence that does not pose an imminent threat to</w:t>
      </w:r>
      <w:r>
        <w:t xml:space="preserve"> </w:t>
      </w:r>
      <w:r>
        <w:t xml:space="preserve">persons or to the national security of the United States.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HUMANE TREATMENT AND CARE.</w:t>
      </w:r>
    </w:p>
    <w:p>
      <w:pPr>
        <w:spacing w:lineRule="exact" w:line="480" w:before="0" w:after="0"/>
        <w:ind w:firstLine="720"/>
        <w:jc w:val="both"/>
      </w:pPr>
      <w:r/>
      <w:r>
        <w:t xml:space="preserve">Any non-human intelligence in the custody or effective control of the</w:t>
      </w:r>
      <w:r>
        <w:t xml:space="preserve"> </w:t>
      </w:r>
      <w:r>
        <w:t xml:space="preserve">United States or a covered person shall be treated humanely, provided appropriate care, and afforded the means of</w:t>
      </w:r>
      <w:r>
        <w:t xml:space="preserve"> </w:t>
      </w:r>
      <w:r>
        <w:t xml:space="preserve">communication to the extent practicable.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REPORTING AND MONITORING.</w:t>
      </w:r>
    </w:p>
    <w:p>
      <w:pPr>
        <w:pStyle w:val="BodyText"/>
        <w:spacing w:lineRule="exact" w:line="480" w:before="0" w:after="0"/>
        <w:ind w:left="0" w:firstLine="720"/>
        <w:jc w:val="both"/>
      </w:pPr>
      <w:r>
        <w:t xml:space="preserve">(a) Within 72 hours after a non-human intelligence comes into the custody or effective control of the United States</w:t>
      </w:r>
      <w:r>
        <w:t xml:space="preserve"> </w:t>
      </w:r>
      <w:r>
        <w:t xml:space="preserve">or a covered person, the Secretary of War or the Director of National Intelligence shall notify the congressional</w:t>
      </w:r>
      <w:r>
        <w:t xml:space="preserve"> </w:t>
      </w:r>
      <w:r>
        <w:t xml:space="preserve">defense and intelligence committees, the leadership of each House, and the Independent Monitor.</w:t>
      </w:r>
    </w:p>
    <w:p>
      <w:pPr>
        <w:pStyle w:val="BodyText"/>
        <w:spacing w:lineRule="exact" w:line="480" w:before="0" w:after="0"/>
        <w:ind w:left="0" w:firstLine="720"/>
        <w:jc w:val="both"/>
      </w:pPr>
      <w:r>
        <w:t xml:space="preserve">(b) The President shall appoint an Independent Monitor, cleared for all relevant programs, with access to any</w:t>
      </w:r>
      <w:r>
        <w:t xml:space="preserve"> </w:t>
      </w:r>
      <w:r>
        <w:t xml:space="preserve">non-human intelligence in custody and to all records, who shall report to Congress every 90 days.</w:t>
      </w:r>
    </w:p>
    <w:p>
      <w:pPr>
        <w:pStyle w:val="BodyText"/>
        <w:spacing w:lineRule="exact" w:line="480" w:before="0" w:after="0"/>
        <w:ind w:left="0" w:firstLine="720"/>
        <w:jc w:val="both"/>
      </w:pPr>
      <w:r>
        <w:t xml:space="preserve">(c) Within 60 days after enactment, the Secretary and the Director shall report to the same recipients every</w:t>
      </w:r>
      <w:r>
        <w:t xml:space="preserve"> </w:t>
      </w:r>
      <w:r>
        <w:t xml:space="preserve">instance since January 1, 1945, known to any element of the Government or any contractor, in which a non-human</w:t>
      </w:r>
      <w:r>
        <w:t xml:space="preserve"> </w:t>
      </w:r>
      <w:r>
        <w:t xml:space="preserve">intelligence was in custody or was killed, and the disposition of any remains.</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REVIEW PANEL.</w:t>
      </w:r>
    </w:p>
    <w:p>
      <w:pPr>
        <w:pStyle w:val="BodyText"/>
        <w:spacing w:lineRule="exact" w:line="480" w:before="0" w:after="0"/>
        <w:ind w:left="0" w:firstLine="720"/>
        <w:jc w:val="both"/>
      </w:pPr>
      <w:r>
        <w:t xml:space="preserve">(a) Establishment. There is established a Non-Human Intelligence Research Review Panel of nine members appointed</w:t>
      </w:r>
      <w:r>
        <w:t xml:space="preserve"> </w:t>
      </w:r>
      <w:r>
        <w:t xml:space="preserve">by the President, of whom at least two shall be physicians, two shall be scientists in the life sciences, two shall</w:t>
      </w:r>
      <w:r>
        <w:t xml:space="preserve"> </w:t>
      </w:r>
      <w:r>
        <w:t xml:space="preserve">be ethicists, two shall be lawyers, and one shall be a member of the public with no affiliation with any department,</w:t>
      </w:r>
      <w:r>
        <w:t xml:space="preserve"> </w:t>
      </w:r>
      <w:r>
        <w:t xml:space="preserve">agency, or contractor. Members shall be granted all clearances and accesses necessary to perform their duties.</w:t>
      </w:r>
    </w:p>
    <w:p>
      <w:pPr>
        <w:pStyle w:val="BodyText"/>
        <w:spacing w:lineRule="exact" w:line="480" w:before="0" w:after="0"/>
        <w:ind w:left="0" w:firstLine="720"/>
        <w:jc w:val="both"/>
      </w:pPr>
      <w:r>
        <w:t xml:space="preserve">(b) Approval required. No examination, procedure, experiment, or research involving a living non-human intelligence,</w:t>
      </w:r>
      <w:r>
        <w:t xml:space="preserve"> </w:t>
      </w:r>
      <w:r>
        <w:t xml:space="preserve">and no destructive analysis of remains, may be conducted without the Panel’s prior written approval.</w:t>
      </w:r>
    </w:p>
    <w:p>
      <w:pPr>
        <w:pStyle w:val="BodyText"/>
        <w:spacing w:lineRule="exact" w:line="480" w:before="0" w:after="0"/>
        <w:ind w:left="0" w:firstLine="720"/>
        <w:jc w:val="both"/>
      </w:pPr>
      <w:r>
        <w:t xml:space="preserve">(c) Standards. The Panel shall approve a proposal only if it finds that—</w:t>
      </w:r>
    </w:p>
    <w:p>
      <w:pPr>
        <w:pStyle w:val="BodyText"/>
        <w:spacing w:lineRule="exact" w:line="480" w:before="0" w:after="0"/>
        <w:ind w:left="720" w:firstLine="720"/>
        <w:jc w:val="both"/>
      </w:pPr>
      <w:r>
        <w:t xml:space="preserve">(1) the risks to the subject are minimized and are reasonable in relation to the anticipated benefits to the</w:t>
      </w:r>
      <w:r>
        <w:t xml:space="preserve"> </w:t>
      </w:r>
      <w:r>
        <w:t xml:space="preserve">subject and the importance of the knowledge expected;</w:t>
      </w:r>
    </w:p>
    <w:p>
      <w:pPr>
        <w:pStyle w:val="BodyText"/>
        <w:spacing w:lineRule="exact" w:line="480" w:before="0" w:after="0"/>
        <w:ind w:left="720" w:firstLine="720"/>
        <w:jc w:val="both"/>
      </w:pPr>
      <w:r>
        <w:t xml:space="preserve">(2) informed consent will be sought and documented where communication is possible, and that any attempt at</w:t>
      </w:r>
      <w:r>
        <w:t xml:space="preserve"> </w:t>
      </w:r>
      <w:r>
        <w:t xml:space="preserve">communication has been made;</w:t>
      </w:r>
    </w:p>
    <w:p>
      <w:pPr>
        <w:pStyle w:val="BodyText"/>
        <w:spacing w:lineRule="exact" w:line="480" w:before="0" w:after="0"/>
        <w:ind w:left="720" w:firstLine="720"/>
        <w:jc w:val="both"/>
      </w:pPr>
      <w:r>
        <w:t xml:space="preserve">(3) the subject’s privacy and dignity will be protected; and</w:t>
      </w:r>
    </w:p>
    <w:p>
      <w:pPr>
        <w:pStyle w:val="BodyText"/>
        <w:spacing w:lineRule="exact" w:line="480" w:before="0" w:after="0"/>
        <w:ind w:left="720" w:firstLine="720"/>
        <w:jc w:val="both"/>
      </w:pPr>
      <w:r>
        <w:t xml:space="preserve">(4) for remains, the analysis is no more destructive than necessary, and the remains will be held with respect and</w:t>
      </w:r>
      <w:r>
        <w:t xml:space="preserve"> </w:t>
      </w:r>
      <w:r>
        <w:t xml:space="preserve">returned if a claim on behalf of the deceased’s community is presented and accepted.</w:t>
      </w:r>
      <w:r>
        <w:t xml:space="preserve"> </w:t>
      </w:r>
      <w:r>
        <w:t xml:space="preserve">In applying these standards the Panel shall be guided by part 46 of title 45, Code of Federal Regulations, and by</w:t>
      </w:r>
      <w:r>
        <w:t xml:space="preserve"> </w:t>
      </w:r>
      <w:r>
        <w:t xml:space="preserve">the consultation and repatriation principles of the Native American Graves Protection and Repatriation Act (25</w:t>
      </w:r>
      <w:r>
        <w:t xml:space="preserve"> </w:t>
      </w:r>
      <w:r>
        <w:t xml:space="preserve">U.S.C. 3001 et seq.).</w:t>
      </w:r>
    </w:p>
    <w:p>
      <w:pPr>
        <w:pStyle w:val="BodyText"/>
        <w:spacing w:lineRule="exact" w:line="480" w:before="0" w:after="0"/>
        <w:ind w:left="0" w:firstLine="720"/>
        <w:jc w:val="both"/>
      </w:pPr>
      <w:r>
        <w:t xml:space="preserve">(d) Monitoring and suspension. The Panel may monitor approved research and shall suspend any research that departs</w:t>
      </w:r>
      <w:r>
        <w:t xml:space="preserve"> </w:t>
      </w:r>
      <w:r>
        <w:t xml:space="preserve">from the approval or causes unexpected serious harm.</w:t>
      </w:r>
    </w:p>
    <w:p>
      <w:pPr>
        <w:pStyle w:val="BodyText"/>
        <w:spacing w:lineRule="exact" w:line="480" w:before="0" w:after="0"/>
        <w:ind w:left="0" w:firstLine="720"/>
        <w:jc w:val="both"/>
      </w:pPr>
      <w:r>
        <w:t xml:space="preserve">(e) Records. The Panel shall keep complete records of each proposal and decision and shall report to the</w:t>
      </w:r>
      <w:r>
        <w:t xml:space="preserve"> </w:t>
      </w:r>
      <w:r>
        <w:t xml:space="preserve">congressional defense and intelligence committees every 90 days, with a classified annex.</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OFFENSES.</w:t>
      </w:r>
    </w:p>
    <w:p>
      <w:pPr>
        <w:spacing w:lineRule="exact" w:line="480" w:before="0" w:after="0"/>
        <w:ind w:firstLine="720"/>
        <w:jc w:val="both"/>
      </w:pPr>
      <w:r/>
      <w:r>
        <w:t xml:space="preserve">Whoever, being a covered person, knowingly violates paragraph (1) or (2) of the</w:t>
      </w:r>
      <w:r>
        <w:t xml:space="preserve"> </w:t>
      </w:r>
      <w:r>
        <w:t xml:space="preserve">Prohibitions section shall be fined under title 18, United States Code, or imprisoned for any term of years or for</w:t>
      </w:r>
      <w:r>
        <w:t xml:space="preserve"> </w:t>
      </w:r>
      <w:r>
        <w:t xml:space="preserve">life, or both. There is extraterritorial jurisdiction over an offense under this section. No limitation period</w:t>
      </w:r>
      <w:r>
        <w:t xml:space="preserve"> </w:t>
      </w:r>
      <w:r>
        <w:t xml:space="preserve">applies to an offense resulting in death.</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NO IMMUNITY.</w:t>
      </w:r>
    </w:p>
    <w:p>
      <w:pPr>
        <w:spacing w:lineRule="exact" w:line="480" w:before="0" w:after="0"/>
        <w:ind w:firstLine="720"/>
        <w:jc w:val="both"/>
      </w:pPr>
      <w:r/>
      <w:r>
        <w:t xml:space="preserve">No grant of immunity under statute, plea, cooperation, or non-prosecution agreement,</w:t>
      </w:r>
      <w:r>
        <w:t xml:space="preserve"> </w:t>
      </w:r>
      <w:r>
        <w:t xml:space="preserve">nondisclosure agreement, directive, or authorization shall relieve any person of liability for conduct described in the Prohibitions section, and no</w:t>
      </w:r>
      <w:r>
        <w:t xml:space="preserve"> </w:t>
      </w:r>
      <w:r>
        <w:t xml:space="preserve">such conduct shall be</w:t>
      </w:r>
      <w:r>
        <w:t xml:space="preserve"> </w:t>
      </w:r>
      <w:r>
        <w:t xml:space="preserve">“</w:t>
      </w:r>
      <w:r>
        <w:t xml:space="preserve">covered conduct</w:t>
      </w:r>
      <w:r>
        <w:t xml:space="preserve">”</w:t>
      </w:r>
      <w:r>
        <w:t xml:space="preserve"> </w:t>
      </w:r>
      <w:r>
        <w:t xml:space="preserve">for purposes of any truth and reconciliation or disclosure statute.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WHISTLEBLOWER PROTECTION.</w:t>
      </w:r>
    </w:p>
    <w:p>
      <w:pPr>
        <w:spacing w:lineRule="exact" w:line="480" w:before="0" w:after="0"/>
        <w:ind w:firstLine="720"/>
        <w:jc w:val="both"/>
      </w:pPr>
      <w:r/>
      <w:r>
        <w:t xml:space="preserve">Any person who reports a violation of this section to the Independent</w:t>
      </w:r>
      <w:r>
        <w:t xml:space="preserve"> </w:t>
      </w:r>
      <w:r>
        <w:t xml:space="preserve">Monitor, an inspector general, or Congress shall have the protections of section 1673(b) of the James M. Inhofe</w:t>
      </w:r>
      <w:r>
        <w:t xml:space="preserve"> </w:t>
      </w:r>
      <w:r>
        <w:t xml:space="preserve">National Defense Authorization Act for Fiscal Year 2023 (50 U.S.C. 3373b(b)).</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SEC. ___. RULE OF CONSTRUCTION.</w:t>
      </w:r>
    </w:p>
    <w:p>
      <w:pPr>
        <w:spacing w:lineRule="exact" w:line="480" w:before="0" w:after="0"/>
        <w:ind w:firstLine="720"/>
        <w:jc w:val="both"/>
      </w:pPr>
      <w:r/>
      <w:r>
        <w:t xml:space="preserve">Nothing in this section shall be construed to determine the legal status of</w:t>
      </w:r>
      <w:r>
        <w:t xml:space="preserve"> </w:t>
      </w:r>
      <w:r>
        <w:t xml:space="preserve">non-human intelligence for any other purpose, or to limit any greater protection under other law.</w:t>
      </w:r>
    </w:p>
    <w:p>
      <w:pPr>
        <w:pStyle w:val="BodyText"/>
        <w:suppressLineNumbers/>
        <w:spacing w:lineRule="exact" w:line="40" w:before="0" w:after="0"/>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pPr>
    </w:p>
    <w:bookmarkStart w:id="22" w:name="drafting-notes"/>
    <w:p>
      <w:pPr>
        <w:pStyle w:val="Heading2"/>
        <w:suppressLineNumbers/>
      </w:pPr>
      <w:r>
        <w:t xml:space="preserve">Drafting notes</w:t>
      </w:r>
    </w:p>
    <w:p>
      <w:pPr>
        <w:pStyle w:val="Compact"/>
        <w:numPr>
          <w:ilvl w:val="0"/>
          <w:numId w:val="1001"/>
        </w:numPr>
        <w:suppressLineNumbers/>
      </w:pPr>
      <w:r>
        <w:rPr>
          <w:bCs/>
          <w:b/>
        </w:rPr>
        <w:t xml:space="preserve">Pardons.</w:t>
      </w:r>
      <w:r>
        <w:t xml:space="preserve"> </w:t>
      </w:r>
      <w:r>
        <w:t xml:space="preserve">The No Immunity section reaches statutory immunity and agreements only. Congress cannot limit the</w:t>
      </w:r>
      <w:r>
        <w:t xml:space="preserve"> </w:t>
      </w:r>
      <w:r>
        <w:t xml:space="preserve">President’s pardon power or change the effect of a pardon.</w:t>
      </w:r>
      <w:r>
        <w:t xml:space="preserve"> </w:t>
      </w:r>
      <w:r>
        <w:rPr>
          <w:iCs/>
          <w:i/>
        </w:rPr>
        <w:t xml:space="preserve">Ex parte Garland</w:t>
      </w:r>
      <w:r>
        <w:t xml:space="preserve">, 71 U.S. (4 Wall.) 333, 380 (1867);</w:t>
      </w:r>
      <w:r>
        <w:t xml:space="preserve"> </w:t>
      </w:r>
      <w:r>
        <w:rPr>
          <w:iCs/>
          <w:i/>
        </w:rPr>
        <w:t xml:space="preserve">United States v. Klein</w:t>
      </w:r>
      <w:r>
        <w:t xml:space="preserve">, 80 U.S. (13 Wall.) 128, 147-48 (1872). A sponsor who wants a check on pardons for these</w:t>
      </w:r>
      <w:r>
        <w:t xml:space="preserve"> </w:t>
      </w:r>
      <w:r>
        <w:t xml:space="preserve">offenses can require the Attorney General to report any pardon or commutation for them to the committees within</w:t>
      </w:r>
      <w:r>
        <w:t xml:space="preserve"> </w:t>
      </w:r>
      <w:r>
        <w:t xml:space="preserve">30 days, which informs Congress without purporting to bind the President.</w:t>
      </w:r>
    </w:p>
    <w:p>
      <w:pPr>
        <w:pStyle w:val="Compact"/>
        <w:numPr>
          <w:ilvl w:val="0"/>
          <w:numId w:val="1001"/>
        </w:numPr>
        <w:suppressLineNumbers/>
      </w:pPr>
      <w:r>
        <w:rPr>
          <w:bCs/>
          <w:b/>
        </w:rPr>
        <w:t xml:space="preserve">Review Panel.</w:t>
      </w:r>
      <w:r>
        <w:t xml:space="preserve"> </w:t>
      </w:r>
      <w:r>
        <w:t xml:space="preserve">The standards track the Common Rule (45 C.F.R. part 46) for consent and risk, with NAGPRA’s</w:t>
      </w:r>
      <w:r>
        <w:t xml:space="preserve"> </w:t>
      </w:r>
      <w:r>
        <w:t xml:space="preserve">consultation and repatriation model for remains. The informed-consent requirement applies only where</w:t>
      </w:r>
      <w:r>
        <w:t xml:space="preserve"> </w:t>
      </w:r>
      <w:r>
        <w:t xml:space="preserve">communication is possible; otherwise the Panel’s approval substitutes for consent, as for research on persons</w:t>
      </w:r>
      <w:r>
        <w:t xml:space="preserve"> </w:t>
      </w:r>
      <w:r>
        <w:t xml:space="preserve">who cannot consent.</w:t>
      </w:r>
    </w:p>
    <w:p>
      <w:pPr>
        <w:pStyle w:val="Compact"/>
        <w:numPr>
          <w:ilvl w:val="0"/>
          <w:numId w:val="1001"/>
        </w:numPr>
        <w:suppressLineNumbers/>
      </w:pPr>
      <w:r>
        <w:rPr>
          <w:bCs/>
          <w:b/>
        </w:rPr>
        <w:t xml:space="preserve">Self-defense.</w:t>
      </w:r>
      <w:r>
        <w:t xml:space="preserve"> </w:t>
      </w:r>
      <w:r>
        <w:t xml:space="preserve">Prohibition (1) and (4) allow force against an imminent threat. The standing rules of</w:t>
      </w:r>
      <w:r>
        <w:t xml:space="preserve"> </w:t>
      </w:r>
      <w:r>
        <w:t xml:space="preserve">engagement and the law of war (</w:t>
      </w:r>
      <w:hyperlink r:id="rId21">
        <w:r>
          <w:rPr>
            <w:rStyle w:val="Hyperlink"/>
          </w:rPr>
          <w:t xml:space="preserve">Issue F2</w:t>
        </w:r>
      </w:hyperlink>
      <w:r>
        <w:t xml:space="preserve">) still govern military operations; this section adds a statutory floor</w:t>
      </w:r>
      <w:r>
        <w:t xml:space="preserve"> </w:t>
      </w:r>
      <w:r>
        <w:t xml:space="preserve">and a reporting duty.</w:t>
      </w:r>
    </w:p>
    <w:p>
      <w:pPr>
        <w:pStyle w:val="Compact"/>
        <w:numPr>
          <w:ilvl w:val="0"/>
          <w:numId w:val="1001"/>
        </w:numPr>
        <w:suppressLineNumbers/>
      </w:pPr>
      <w:r>
        <w:rPr>
          <w:bCs/>
          <w:b/>
        </w:rPr>
        <w:t xml:space="preserve">Offenses.</w:t>
      </w:r>
      <w:r>
        <w:t xml:space="preserve"> </w:t>
      </w:r>
      <w:r>
        <w:t xml:space="preserve">The penalty for killing tracks 18 U.S.C. §1111 and the war crimes statute (18 U.S.C. §2441).</w:t>
      </w:r>
      <w:r>
        <w:t xml:space="preserve"> </w:t>
      </w:r>
      <w:r>
        <w:t xml:space="preserve">Congress has removed the limitation period for listed terrorism offenses that result in death (18 U.S.C.</w:t>
      </w:r>
      <w:r>
        <w:t xml:space="preserve"> </w:t>
      </w:r>
      <w:r>
        <w:t xml:space="preserve">§3286(b)), which is the model for the last sentence of the Offenses section.</w:t>
      </w:r>
    </w:p>
    <w:p>
      <w:pPr>
        <w:pStyle w:val="Compact"/>
        <w:numPr>
          <w:ilvl w:val="0"/>
          <w:numId w:val="1001"/>
        </w:numPr>
        <w:suppressLineNumbers/>
      </w:pPr>
      <w:r>
        <w:t xml:space="preserve">Related: Issues F1, F2, F5; Forms F1-1, B3-1.</w:t>
      </w:r>
    </w:p>
    <w:bookmarkEnd w:id="22"/>
    <w:bookmarkEnd w:id="23"/>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Century Schoolbook" w:hAnsi="Century Schoolbook" w:cs="Century Schoolbook" w:eastAsia="Century Schoolbook"/>
        <w:i/>
        <w:sz w:val="16"/>
      </w:rPr>
      <w:t>[H.R.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Century Schoolbook" w:hAnsi="Century Schoolbook" w:cs="Century Schoolbook" w:eastAsia="Century Schoolbook"/>
        <w:sz w:val="22"/>
      </w:rPr>
      <w:fldChar w:fldCharType="begin"/>
    </w:r>
    <w:r>
      <w:rPr>
        <w:rFonts w:ascii="Century Schoolbook" w:hAnsi="Century Schoolbook" w:cs="Century Schoolbook" w:eastAsia="Century Schoolbook"/>
        <w:sz w:val="22"/>
      </w:rPr>
      <w:instrText xml:space="preserve"> PAGE </w:instrText>
    </w:r>
    <w:r>
      <w:rPr>
        <w:rFonts w:ascii="Century Schoolbook" w:hAnsi="Century Schoolbook" w:cs="Century Schoolbook" w:eastAsia="Century Schoolbook"/>
        <w:sz w:val="22"/>
      </w:rPr>
      <w:fldChar w:fldCharType="separate"/>
    </w:r>
    <w:r>
      <w:rPr>
        <w:rFonts w:ascii="Century Schoolbook" w:hAnsi="Century Schoolbook" w:cs="Century Schoolbook" w:eastAsia="Century Schoolbook"/>
        <w:sz w:val="22"/>
      </w:rPr>
      <w:t>1</w:t>
    </w:r>
    <w:r>
      <w:rPr>
        <w:rFonts w:ascii="Century Schoolbook" w:hAnsi="Century Schoolbook" w:cs="Century Schoolbook" w:eastAsia="Century Schoolbook"/>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Century Schoolbook" w:cs="Century Schoolbook" w:eastAsia="Century Schoolbook" w:hAnsi="Century Schoolbook"/>
      <w:color w:val="000000"/>
      <w:sz w:val="24"/>
    </w:rPr>
  </w:style>
  <w:style w:styleId="BodyText" w:type="paragraph">
    <w:name w:val="Body Text"/>
    <w:basedOn w:val="Normal"/>
    <w:link w:val="BodyTextChar"/>
    <w:pPr>
      <w:spacing w:after="0" w:before="0" w:line="240" w:lineRule="auto"/>
    </w:pPr>
    <w:qFormat/>
    <w:rPr>
      <w:rFonts w:ascii="Century Schoolbook" w:cs="Century Schoolbook" w:eastAsia="Century Schoolbook" w:hAnsi="Century Schoolbook"/>
      <w:color w:val="000000"/>
      <w:sz w:val="24"/>
    </w:rPr>
  </w:style>
  <w:style w:customStyle="1" w:styleId="FirstParagraph" w:type="paragraph">
    <w:name w:val="First Paragraph"/>
    <w:basedOn w:val="BodyText"/>
    <w:next w:val="BodyText"/>
    <w:qFormat/>
    <w:pPr>
      <w:spacing w:after="0" w:before="0" w:line="240" w:lineRule="auto"/>
    </w:pPr>
    <w:rPr>
      <w:rFonts w:ascii="Century Schoolbook" w:cs="Century Schoolbook" w:eastAsia="Century Schoolbook" w:hAnsi="Century Schoolbook"/>
      <w:color w:val="000000"/>
      <w:sz w:val="24"/>
    </w:rPr>
  </w:style>
  <w:style w:customStyle="1" w:styleId="Compact" w:type="paragraph">
    <w:name w:val="Compact"/>
    <w:basedOn w:val="BodyText"/>
    <w:qFormat/>
    <w:pPr>
      <w:spacing w:after="0" w:before="0" w:line="240" w:lineRule="auto"/>
    </w:pPr>
    <w:rPr>
      <w:rFonts w:ascii="Century Schoolbook" w:cs="Century Schoolbook" w:eastAsia="Century Schoolbook" w:hAnsi="Century Schoolbook"/>
      <w:color w:val="000000"/>
      <w:sz w:val="24"/>
    </w:rPr>
  </w:style>
  <w:style w:styleId="Title" w:type="paragraph">
    <w:name w:val="Title"/>
    <w:basedOn w:val="Normal"/>
    <w:next w:val="BodyText"/>
    <w:qFormat/>
    <w:pPr>
      <w:keepNext/>
      <w:keepLines/>
      <w:spacing w:after="160" w:before="480"/>
      <w:jc w:val="left"/>
    </w:pPr>
    <w:rPr>
      <w:rFonts w:ascii="Century Schoolbook" w:cs="Century Schoolbook" w:eastAsia="Century Schoolbook" w:hAnsi="Century Schoolbook"/>
      <w:b/>
      <w:bCs/>
      <w:color w:val="1A2B3C"/>
      <w:sz w:val="40"/>
      <w:szCs w:val="36"/>
    </w:rPr>
  </w:style>
  <w:style w:styleId="Subtitle" w:type="paragraph">
    <w:name w:val="Subtitle"/>
    <w:basedOn w:val="Title"/>
    <w:next w:val="BodyText"/>
    <w:qFormat/>
    <w:pPr>
      <w:keepNext/>
      <w:keepLines/>
      <w:spacing w:after="160" w:before="240"/>
      <w:jc w:val="left"/>
    </w:pPr>
    <w:rPr>
      <w:rFonts w:ascii="Century Schoolbook" w:cs="Century Schoolbook" w:eastAsia="Century Schoolbook" w:hAnsi="Century Schoolbook"/>
      <w:color w:val="1A2B3C"/>
      <w:sz w:val="22"/>
      <w:szCs w:val="30"/>
    </w:rPr>
  </w:style>
  <w:style w:customStyle="1" w:styleId="Author" w:type="paragraph">
    <w:name w:val="Author"/>
    <w:next w:val="BodyText"/>
    <w:qFormat/>
    <w:pPr>
      <w:keepNext/>
      <w:keepLines/>
      <w:jc w:val="center"/>
    </w:pPr>
    <w:rPr>
      <w:rFonts w:ascii="Century Schoolbook" w:cs="Century Schoolbook" w:eastAsia="Century Schoolbook" w:hAnsi="Century Schoolbook"/>
      <w:color w:val="000000"/>
    </w:rPr>
  </w:style>
  <w:style w:styleId="Date" w:type="paragraph">
    <w:name w:val="Date"/>
    <w:next w:val="BodyText"/>
    <w:qFormat/>
    <w:pPr>
      <w:keepNext/>
      <w:keepLines/>
      <w:jc w:val="center"/>
    </w:pPr>
    <w:rPr>
      <w:rFonts w:ascii="Century Schoolbook" w:cs="Century Schoolbook" w:eastAsia="Century Schoolbook" w:hAnsi="Century Schoolbook"/>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entury Schoolbook" w:cs="Century Schoolbook" w:eastAsia="Century Schoolbook" w:hAnsi="Century Schoolbook"/>
      <w:b/>
    </w:rPr>
  </w:style>
  <w:style w:customStyle="1" w:styleId="Abstract" w:type="paragraph">
    <w:name w:val="Abstract"/>
    <w:basedOn w:val="Normal"/>
    <w:next w:val="BodyText"/>
    <w:qFormat/>
    <w:pPr>
      <w:keepNext/>
      <w:keepLines/>
      <w:spacing w:after="300" w:before="100"/>
    </w:pPr>
    <w:rPr>
      <w:rFonts w:ascii="Century Schoolbook" w:cs="Century Schoolbook" w:eastAsia="Century Schoolbook" w:hAnsi="Century Schoolbook"/>
      <w:color w:val="000000"/>
      <w:sz w:val="20"/>
      <w:szCs w:val="20"/>
    </w:rPr>
  </w:style>
  <w:style w:styleId="Bibliography" w:type="paragraph">
    <w:name w:val="Bibliography"/>
    <w:basedOn w:val="Normal"/>
    <w:next w:val="Bibliography"/>
    <w:qFormat/>
    <w:pPr/>
    <w:rPr>
      <w:rFonts w:ascii="Century Schoolbook" w:cs="Century Schoolbook" w:eastAsia="Century Schoolbook" w:hAnsi="Century Schoolbook"/>
      <w:color w:val="000000"/>
    </w:rPr>
  </w:style>
  <w:style w:styleId="Heading1" w:type="paragraph">
    <w:name w:val="Heading 1"/>
    <w:basedOn w:val="Normal"/>
    <w:next w:val="BodyText"/>
    <w:uiPriority w:val="9"/>
    <w:qFormat/>
    <w:pPr>
      <w:keepNext/>
      <w:keepLines/>
      <w:spacing w:after="120" w:before="280"/>
      <w:outlineLvl w:val="0"/>
    </w:pPr>
    <w:rPr>
      <w:rFonts w:ascii="Century Schoolbook" w:cs="Century Schoolbook" w:eastAsia="Century Schoolbook" w:hAnsi="Century Schoolbook"/>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Century Schoolbook" w:cs="Century Schoolbook" w:eastAsia="Century Schoolbook" w:hAnsi="Century Schoolbook"/>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Century Schoolbook" w:cs="Century Schoolbook" w:eastAsia="Century Schoolbook" w:hAnsi="Century Schoolbook"/>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Century Schoolbook" w:cs="Century Schoolbook" w:eastAsia="Century Schoolbook" w:hAnsi="Century Schoolbook"/>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Century Schoolbook" w:cs="Century Schoolbook" w:eastAsia="Century Schoolbook" w:hAnsi="Century Schoolbook"/>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entury Schoolbook" w:cs="Century Schoolbook" w:eastAsia="Century Schoolbook" w:hAnsi="Century Schoolbook"/>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entury Schoolbook" w:cs="Century Schoolbook" w:eastAsia="Century Schoolbook" w:hAnsi="Century Schoolbook"/>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entury Schoolbook" w:cs="Century Schoolbook" w:eastAsia="Century Schoolbook" w:hAnsi="Century Schoolbook"/>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entury Schoolbook" w:cs="Century Schoolbook" w:eastAsia="Century Schoolbook" w:hAnsi="Century Schoolbook"/>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Century Schoolbook" w:cs="Century Schoolbook" w:eastAsia="Century Schoolbook" w:hAnsi="Century Schoolbook"/>
      <w:color w:val="000000"/>
      <w:sz w:val="24"/>
    </w:rPr>
  </w:style>
  <w:style w:styleId="FootnoteText" w:type="paragraph">
    <w:name w:val="Footnote Text"/>
    <w:basedOn w:val="Normal"/>
    <w:next w:val="FootnoteText"/>
    <w:uiPriority w:val="9"/>
    <w:unhideWhenUsed/>
    <w:qFormat/>
    <w:rPr>
      <w:rFonts w:ascii="Century Schoolbook" w:cs="Century Schoolbook" w:eastAsia="Century Schoolbook" w:hAnsi="Century Schoolbook"/>
      <w:color w:val="000000"/>
    </w:rPr>
  </w:style>
  <w:style w:default="1" w:styleId="DefaultParagraphFont" w:type="character">
    <w:name w:val="Default Paragraph Font"/>
    <w:semiHidden/>
    <w:unhideWhenUsed/>
    <w:rPr>
      <w:rFonts w:ascii="Century Schoolbook" w:cs="Century Schoolbook" w:eastAsia="Century Schoolbook" w:hAnsi="Century Schoolbook"/>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entury Schoolbook" w:cs="Century Schoolbook" w:eastAsia="Century Schoolbook" w:hAnsi="Century Schoolbook"/>
      <w:b/>
      <w:color w:val="000000"/>
    </w:rPr>
  </w:style>
  <w:style w:customStyle="1" w:styleId="Definition" w:type="paragraph">
    <w:name w:val="Definition"/>
    <w:basedOn w:val="Normal"/>
    <w:rPr>
      <w:rFonts w:ascii="Century Schoolbook" w:cs="Century Schoolbook" w:eastAsia="Century Schoolbook" w:hAnsi="Century Schoolbook"/>
      <w:color w:val="000000"/>
    </w:rPr>
  </w:style>
  <w:style w:styleId="Caption" w:type="paragraph">
    <w:name w:val="Caption"/>
    <w:basedOn w:val="Normal"/>
    <w:link w:val="BodyTextChar"/>
    <w:pPr>
      <w:spacing w:after="120" w:before="0"/>
    </w:pPr>
    <w:rPr>
      <w:rFonts w:ascii="Century Schoolbook" w:cs="Century Schoolbook" w:eastAsia="Century Schoolbook" w:hAnsi="Century Schoolbook"/>
      <w:i/>
      <w:color w:val="000000"/>
    </w:rPr>
  </w:style>
  <w:style w:customStyle="1" w:styleId="TableCaption" w:type="paragraph">
    <w:name w:val="Table Caption"/>
    <w:basedOn w:val="Caption"/>
    <w:pPr>
      <w:keepNext/>
    </w:pPr>
    <w:rPr>
      <w:rFonts w:ascii="Century Schoolbook" w:cs="Century Schoolbook" w:eastAsia="Century Schoolbook" w:hAnsi="Century Schoolbook"/>
      <w:color w:val="000000"/>
    </w:rPr>
  </w:style>
  <w:style w:customStyle="1" w:styleId="ImageCaption" w:type="paragraph">
    <w:name w:val="Image Caption"/>
    <w:basedOn w:val="Caption"/>
    <w:rPr>
      <w:rFonts w:ascii="Century Schoolbook" w:cs="Century Schoolbook" w:eastAsia="Century Schoolbook" w:hAnsi="Century Schoolbook"/>
      <w:color w:val="000000"/>
    </w:rPr>
  </w:style>
  <w:style w:customStyle="1" w:styleId="Figure" w:type="paragraph">
    <w:name w:val="Figure"/>
    <w:basedOn w:val="Normal"/>
    <w:rPr>
      <w:rFonts w:ascii="Century Schoolbook" w:cs="Century Schoolbook" w:eastAsia="Century Schoolbook" w:hAnsi="Century Schoolbook"/>
      <w:color w:val="000000"/>
    </w:rPr>
  </w:style>
  <w:style w:customStyle="1" w:styleId="CaptionedFigure" w:type="paragraph">
    <w:name w:val="Captioned Figure"/>
    <w:basedOn w:val="Figure"/>
    <w:pPr>
      <w:keepNext/>
    </w:pPr>
    <w:rPr>
      <w:rFonts w:ascii="Century Schoolbook" w:cs="Century Schoolbook" w:eastAsia="Century Schoolbook" w:hAnsi="Century Schoolbook"/>
      <w:color w:val="000000"/>
    </w:rPr>
  </w:style>
  <w:style w:customStyle="1" w:styleId="BodyTextChar" w:type="character">
    <w:name w:val="Body Text Char"/>
    <w:basedOn w:val="DefaultParagraphFont"/>
    <w:link w:val="BodyText"/>
    <w:rPr>
      <w:rFonts w:ascii="Century Schoolbook" w:cs="Century Schoolbook" w:eastAsia="Century Schoolbook" w:hAnsi="Century Schoolbook"/>
      <w:color w:val="000000"/>
    </w:rPr>
  </w:style>
  <w:style w:customStyle="1" w:styleId="VerbatimChar" w:type="character">
    <w:name w:val="Verbatim Char"/>
    <w:basedOn w:val="BodyTextChar"/>
    <w:rPr>
      <w:rFonts w:ascii="Century Schoolbook" w:cs="Century Schoolbook" w:eastAsia="Century Schoolbook" w:hAnsi="Century Schoolbook"/>
      <w:color w:val="000000"/>
      <w:sz w:val="22"/>
    </w:rPr>
  </w:style>
  <w:style w:customStyle="1" w:styleId="SectionNumber" w:type="character">
    <w:name w:val="Section Number"/>
    <w:basedOn w:val="BodyTextChar"/>
    <w:rPr>
      <w:rFonts w:ascii="Century Schoolbook" w:cs="Century Schoolbook" w:eastAsia="Century Schoolbook" w:hAnsi="Century Schoolbook"/>
      <w:color w:val="000000"/>
    </w:rPr>
  </w:style>
  <w:style w:styleId="FootnoteReference" w:type="character">
    <w:name w:val="Footnote Reference"/>
    <w:basedOn w:val="BodyTextChar"/>
    <w:rPr>
      <w:rFonts w:ascii="Century Schoolbook" w:cs="Century Schoolbook" w:eastAsia="Century Schoolbook" w:hAnsi="Century Schoolbook"/>
      <w:color w:val="000000"/>
      <w:vertAlign w:val="superscript"/>
    </w:rPr>
  </w:style>
  <w:style w:styleId="Hyperlink" w:type="character">
    <w:name w:val="Hyperlink"/>
    <w:basedOn w:val="BodyTextChar"/>
    <w:rPr>
      <w:rFonts w:ascii="Century Schoolbook" w:cs="Century Schoolbook" w:eastAsia="Century Schoolbook" w:hAnsi="Century Schoolbook"/>
      <w:color w:val="1F6E6E"/>
    </w:rPr>
  </w:style>
  <w:style w:styleId="TOCHeading" w:type="paragraph">
    <w:name w:val="TOC Heading"/>
    <w:basedOn w:val="Heading1"/>
    <w:next w:val="BodyText"/>
    <w:uiPriority w:val="39"/>
    <w:unhideWhenUsed/>
    <w:qFormat/>
    <w:pPr>
      <w:spacing w:before="240" w:line="259" w:lineRule="auto"/>
      <w:outlineLvl w:val="9"/>
    </w:pPr>
    <w:rPr>
      <w:rFonts w:ascii="Century Schoolbook" w:cs="Century Schoolbook" w:eastAsia="Century Schoolbook" w:hAnsi="Century Schoolbook"/>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f1.html" TargetMode="External"/><Relationship Id="rId21" Type="http://schemas.openxmlformats.org/officeDocument/2006/relationships/hyperlink" Target="https://nhilaw.com/issues/f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f1.html" TargetMode="External"/><Relationship Id="rId21" Type="http://schemas.openxmlformats.org/officeDocument/2006/relationships/hyperlink" Target="https://nhilaw.com/issues/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F2-1. Model Statute: Interim Protection of Non-Human Intelligence in United States Custody or Control</dc:title>
  <dc:creator>nhilaw.com</dc:creator>
  <cp:keywords/>
  <dcterms:created xsi:type="dcterms:W3CDTF">2026-10-19T03:14:54Z</dcterms:created>
  <dcterms:modified xsi:type="dcterms:W3CDTF">2026-10-19T03:14:54Z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