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Allegations That Craft Were Downed and Occupants Detained or Killed: Applicable Law and Accountability</w:t>
      </w:r>
    </w:p>
    <w:p>
      <w:pPr>
        <w:pStyle w:val="Subtitle"/>
      </w:pPr>
      <w:r>
        <w:t xml:space="preserve">Version 1.10 · October 2026 · nhilaw.com/issues/f2.html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Premise.</w:t>
      </w:r>
      <w:r>
        <w:t xml:space="preserve"> </w:t>
      </w:r>
      <w:r>
        <w:t xml:space="preserve">Insider testimony alleges that government agencies and private aerospace contractors have caused</w:t>
      </w:r>
      <w:r>
        <w:t xml:space="preserve"> </w:t>
      </w:r>
      <w:r>
        <w:t xml:space="preserve">non-human craft to crash, recovered the craft, and imprisoned or killed non-human occupants. This analysis</w:t>
      </w:r>
      <w:r>
        <w:t xml:space="preserve"> </w:t>
      </w:r>
      <w:r>
        <w:t xml:space="preserve">assumes those allegations may be true and asks what law governs each stage (bringing down a craft, capture,</w:t>
      </w:r>
      <w:r>
        <w:t xml:space="preserve"> </w:t>
      </w:r>
      <w:r>
        <w:t xml:space="preserve">detention, killing, treatment of remains), who could be held accountable, and what law should be made.</w:t>
      </w:r>
    </w:p>
    <w:p>
      <w:r>
        <w:pict>
          <v:rect style="width:0;height:1.5pt" o:hralign="center" o:hrstd="t" o:hr="t"/>
        </w:pict>
      </w:r>
    </w:p>
    <w:bookmarkStart w:id="23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No statute authorizes force against a non-threatening craft; Article II supports defense of U.S. airspace, and 10 U.S.C. §130i (and 6 U.S.C. §124n) reach</w:t>
      </w:r>
      <w:r>
        <w:t xml:space="preserve"> </w:t>
      </w:r>
      <w:r>
        <w:t xml:space="preserve">“</w:t>
      </w:r>
      <w:r>
        <w:t xml:space="preserve">unmanned aircraft</w:t>
      </w:r>
      <w:r>
        <w:t xml:space="preserve">”</w:t>
      </w:r>
      <w:r>
        <w:t xml:space="preserve"> </w:t>
      </w:r>
      <w:r>
        <w:t xml:space="preserve">threatening covered facilities, a definition that literally fits a craft with non-human occupants.</w:t>
      </w:r>
    </w:p>
    <w:p>
      <w:pPr>
        <w:pStyle w:val="Compact"/>
        <w:numPr>
          <w:ilvl w:val="0"/>
          <w:numId w:val="1001"/>
        </w:numPr>
      </w:pPr>
      <w:r>
        <w:t xml:space="preserve">Detaining an intelligent being without process raises due process and habeas questions if it is a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Issue F1</w:t>
        </w:r>
      </w:hyperlink>
      <w:r>
        <w:t xml:space="preserve">); in an armed conflict, Common Article 3 and the DoD Law of War Manual govern.</w:t>
      </w:r>
    </w:p>
    <w:p>
      <w:pPr>
        <w:pStyle w:val="Compact"/>
        <w:numPr>
          <w:ilvl w:val="0"/>
          <w:numId w:val="1001"/>
        </w:numPr>
      </w:pPr>
      <w:r>
        <w:t xml:space="preserve">Federal homicide statutes protect</w:t>
      </w:r>
      <w:r>
        <w:t xml:space="preserve"> </w:t>
      </w:r>
      <w:r>
        <w:t xml:space="preserve">“</w:t>
      </w:r>
      <w:r>
        <w:t xml:space="preserve">human beings</w:t>
      </w:r>
      <w:r>
        <w:t xml:space="preserve">”</w:t>
      </w:r>
      <w:r>
        <w:t xml:space="preserve">; the torture and war crimes statutes protect</w:t>
      </w:r>
      <w:r>
        <w:t xml:space="preserve"> </w:t>
      </w:r>
      <w:r>
        <w:t xml:space="preserve">“</w:t>
      </w:r>
      <w:r>
        <w:t xml:space="preserve">persons</w:t>
      </w:r>
      <w:r>
        <w:t xml:space="preserve">”</w:t>
      </w:r>
      <w:r>
        <w:t xml:space="preserve"> </w:t>
      </w:r>
      <w:r>
        <w:t xml:space="preserve">and are the strongest existing vehicles, and a war crime resulting in death has no limitations period.</w:t>
      </w:r>
    </w:p>
    <w:p>
      <w:pPr>
        <w:pStyle w:val="Compact"/>
        <w:numPr>
          <w:ilvl w:val="0"/>
          <w:numId w:val="1001"/>
        </w:numPr>
      </w:pPr>
      <w:r>
        <w:t xml:space="preserve">Contractors face state tort liability for conduct the government did not require (</w:t>
      </w:r>
      <w:r>
        <w:rPr>
          <w:iCs/>
          <w:i/>
        </w:rPr>
        <w:t xml:space="preserve">Hencely</w:t>
      </w:r>
      <w:r>
        <w:t xml:space="preserve">); the ATS is closed (</w:t>
      </w:r>
      <w:r>
        <w:rPr>
          <w:iCs/>
          <w:i/>
        </w:rPr>
        <w:t xml:space="preserve">Cisco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Recommended: an interim protection statute with reporting to Congress and an independent monitor (</w:t>
      </w:r>
      <w:hyperlink r:id="rId22">
        <w:r>
          <w:rPr>
            <w:rStyle w:val="Hyperlink"/>
          </w:rPr>
          <w:t xml:space="preserve">Form F2-1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3"/>
    <w:bookmarkStart w:id="26" w:name="summary"/>
    <w:p>
      <w:pPr>
        <w:pStyle w:val="Heading2"/>
      </w:pPr>
      <w:r>
        <w:t xml:space="preserve">1. Summary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Use of force against a craft.</w:t>
      </w:r>
      <w:r>
        <w:t xml:space="preserve"> </w:t>
      </w:r>
      <w:r>
        <w:t xml:space="preserve">The President has relied on Article II authority to shoot down unidentified</w:t>
      </w:r>
      <w:r>
        <w:t xml:space="preserve"> </w:t>
      </w:r>
      <w:r>
        <w:t xml:space="preserve">objects in U.S. airspace (the February 2023 shootdowns over Alaska, the Yukon, and Lake Huron). Statutory</w:t>
      </w:r>
      <w:r>
        <w:t xml:space="preserve"> </w:t>
      </w:r>
      <w:r>
        <w:t xml:space="preserve">counter-UAS authority (10 U.S.C. §130i) permits DoD to mitigate threats from unmanned aircraft to covered</w:t>
      </w:r>
      <w:r>
        <w:t xml:space="preserve"> </w:t>
      </w:r>
      <w:r>
        <w:t xml:space="preserve">facilities. Neither authority addresses crewed craft of non-human origin, and neither authorizes force against</w:t>
      </w:r>
      <w:r>
        <w:t xml:space="preserve"> </w:t>
      </w:r>
      <w:r>
        <w:t xml:space="preserve">an object that poses no threat. Deliberately downing a craft that posed no threat, in peacetime, has no clear</w:t>
      </w:r>
      <w:r>
        <w:t xml:space="preserve"> </w:t>
      </w:r>
      <w:r>
        <w:t xml:space="preserve">legal basis.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Detention.</w:t>
      </w:r>
      <w:r>
        <w:t xml:space="preserve"> </w:t>
      </w:r>
      <w:r>
        <w:t xml:space="preserve">Detaining an intelligent being without any legal process raises due process and habeas questions</w:t>
      </w:r>
      <w:r>
        <w:t xml:space="preserve"> </w:t>
      </w:r>
      <w:r>
        <w:t xml:space="preserve">if the being is a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Issue F1</w:t>
        </w:r>
      </w:hyperlink>
      <w:r>
        <w:t xml:space="preserve">). If an armed conflict exists with an NHI group, the law of armed conflict</w:t>
      </w:r>
      <w:r>
        <w:t xml:space="preserve"> </w:t>
      </w:r>
      <w:r>
        <w:t xml:space="preserve">would govern detention, with humane treatment required at minimum (Common Article 3 standards, which the United</w:t>
      </w:r>
      <w:r>
        <w:t xml:space="preserve"> </w:t>
      </w:r>
      <w:r>
        <w:t xml:space="preserve">States applies in all armed conflicts as a matter of policy, and which</w:t>
      </w:r>
      <w:r>
        <w:t xml:space="preserve"> </w:t>
      </w:r>
      <w:r>
        <w:rPr>
          <w:iCs/>
          <w:i/>
        </w:rPr>
        <w:t xml:space="preserve">Hamdan v. Rumsfeld</w:t>
      </w:r>
      <w:r>
        <w:t xml:space="preserve">, 548 U.S. 557 (2006),</w:t>
      </w:r>
      <w:r>
        <w:t xml:space="preserve"> </w:t>
      </w:r>
      <w:r>
        <w:t xml:space="preserve">held applicable as law to the conflict with al Qaeda as a conflict</w:t>
      </w:r>
      <w:r>
        <w:t xml:space="preserve"> </w:t>
      </w:r>
      <w:r>
        <w:t xml:space="preserve">“</w:t>
      </w:r>
      <w:r>
        <w:t xml:space="preserve">not of an international character</w:t>
      </w:r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Killing.</w:t>
      </w:r>
      <w:r>
        <w:t xml:space="preserve"> </w:t>
      </w:r>
      <w:r>
        <w:t xml:space="preserve">Killing a detained or incapacitated being would be murder or a war crime if the victim is a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human being</w:t>
      </w:r>
      <w:r>
        <w:t xml:space="preserve">”</w:t>
      </w:r>
      <w:r>
        <w:t xml:space="preserve"> </w:t>
      </w:r>
      <w:r>
        <w:t xml:space="preserve">under the applicable statute. Current homicide statutes generally protect</w:t>
      </w:r>
      <w:r>
        <w:t xml:space="preserve"> </w:t>
      </w:r>
      <w:r>
        <w:t xml:space="preserve">“</w:t>
      </w:r>
      <w:r>
        <w:t xml:space="preserve">human</w:t>
      </w:r>
      <w:r>
        <w:t xml:space="preserve"> </w:t>
      </w:r>
      <w:r>
        <w:t xml:space="preserve">beings</w:t>
      </w:r>
      <w:r>
        <w:t xml:space="preserve">”</w:t>
      </w:r>
      <w:r>
        <w:t xml:space="preserve">; the federal torture and war crimes statutes protect</w:t>
      </w:r>
      <w:r>
        <w:t xml:space="preserve"> </w:t>
      </w:r>
      <w:r>
        <w:t xml:space="preserve">“</w:t>
      </w:r>
      <w:r>
        <w:t xml:space="preserve">persons</w:t>
      </w:r>
      <w:r>
        <w:t xml:space="preserve">”</w:t>
      </w:r>
      <w:r>
        <w:t xml:space="preserve"> </w:t>
      </w:r>
      <w:r>
        <w:t xml:space="preserve">and are the strongest existing vehicles.</w:t>
      </w:r>
      <w:r>
        <w:t xml:space="preserve"> </w:t>
      </w:r>
      <w:r>
        <w:t xml:space="preserve">The question is unsettled and should be resolved by legislation.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Contractors.</w:t>
      </w:r>
      <w:r>
        <w:t xml:space="preserve"> </w:t>
      </w:r>
      <w:r>
        <w:t xml:space="preserve">Private contractors that took part in downing, detention, or killing face civil liability under</w:t>
      </w:r>
      <w:r>
        <w:t xml:space="preserve"> </w:t>
      </w:r>
      <w:r>
        <w:t xml:space="preserve">state tort law where the government did not require or authorize their conduct (</w:t>
      </w:r>
      <w:r>
        <w:rPr>
          <w:iCs/>
          <w:i/>
        </w:rPr>
        <w:t xml:space="preserve">Hencely v. Fluor Corp.</w:t>
      </w:r>
      <w:r>
        <w:t xml:space="preserve">, 608</w:t>
      </w:r>
      <w:r>
        <w:t xml:space="preserve"> </w:t>
      </w:r>
      <w:r>
        <w:t xml:space="preserve">U.S. 31 (2026)). An Alien Tort Statute case against an interrogation contractor was tried to verdict despite the</w:t>
      </w:r>
      <w:r>
        <w:t xml:space="preserve"> </w:t>
      </w:r>
      <w:r>
        <w:t xml:space="preserve">state secrets privilege, but the Fourth Circuit vacated its decision affirming the verdict and ordered dismissal</w:t>
      </w:r>
      <w:r>
        <w:t xml:space="preserve"> </w:t>
      </w:r>
      <w:r>
        <w:t xml:space="preserve">after the Supreme Court closed the ATS to judicially created causes of action (</w:t>
      </w:r>
      <w:r>
        <w:rPr>
          <w:iCs/>
          <w:i/>
        </w:rPr>
        <w:t xml:space="preserve">Al Shimari v. CACI Premier</w:t>
      </w:r>
      <w:r>
        <w:rPr>
          <w:iCs/>
          <w:i/>
        </w:rPr>
        <w:t xml:space="preserve"> </w:t>
      </w:r>
      <w:r>
        <w:rPr>
          <w:iCs/>
          <w:i/>
        </w:rPr>
        <w:t xml:space="preserve">Technology, Inc.</w:t>
      </w:r>
      <w:r>
        <w:t xml:space="preserve">, 170 F.4th 162 (4th Cir. 2026), vacated on reh’g on other grounds, 2026 WL 2547096 (4th Cir. Aug. 28, 2026) (per curiam) (unpublished);</w:t>
      </w:r>
      <w:r>
        <w:t xml:space="preserve"> </w:t>
      </w:r>
      <w:r>
        <w:rPr>
          <w:iCs/>
          <w:i/>
        </w:rPr>
        <w:t xml:space="preserve">Cisco Systems, Inc. v. Doe I</w:t>
      </w:r>
      <w:r>
        <w:t xml:space="preserve">, 609 U.S. 141 (2026))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Issue A1</w:t>
        </w:r>
      </w:hyperlink>
      <w:r>
        <w:t xml:space="preserve">). Whether an NHI is an</w:t>
      </w:r>
      <w:r>
        <w:t xml:space="preserve"> </w:t>
      </w:r>
      <w:r>
        <w:t xml:space="preserve">“</w:t>
      </w:r>
      <w:r>
        <w:t xml:space="preserve">alien</w:t>
      </w:r>
      <w:r>
        <w:t xml:space="preserve">”</w:t>
      </w:r>
      <w:r>
        <w:t xml:space="preserve"> </w:t>
      </w:r>
      <w:r>
        <w:t xml:space="preserve">under 28 U.S.C. §1350 therefore matters little: after</w:t>
      </w:r>
      <w:r>
        <w:t xml:space="preserve"> </w:t>
      </w:r>
      <w:r>
        <w:rPr>
          <w:iCs/>
          <w:i/>
        </w:rPr>
        <w:t xml:space="preserve">Cisco</w:t>
      </w:r>
      <w:r>
        <w:t xml:space="preserve"> </w:t>
      </w:r>
      <w:r>
        <w:t xml:space="preserve">the</w:t>
      </w:r>
      <w:r>
        <w:t xml:space="preserve"> </w:t>
      </w:r>
      <w:r>
        <w:t xml:space="preserve">statute supports claims only for the three historical torts, and harm to an NHI is not one of them.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Accountability.</w:t>
      </w:r>
      <w:r>
        <w:t xml:space="preserve"> </w:t>
      </w:r>
      <w:r>
        <w:t xml:space="preserve">Grave conduct should be excluded from any immunity scheme (</w:t>
      </w:r>
      <w:hyperlink r:id="rId25">
        <w:r>
          <w:rPr>
            <w:rStyle w:val="Hyperlink"/>
          </w:rPr>
          <w:t xml:space="preserve">Issue B3</w:t>
        </w:r>
      </w:hyperlink>
      <w:r>
        <w:t xml:space="preserve">), and a statute should</w:t>
      </w:r>
      <w:r>
        <w:t xml:space="preserve"> </w:t>
      </w:r>
      <w:r>
        <w:t xml:space="preserve">establish protections, reporting, and an independent monitor now (</w:t>
      </w:r>
      <w:hyperlink r:id="rId21">
        <w:r>
          <w:rPr>
            <w:rStyle w:val="Hyperlink"/>
          </w:rPr>
          <w:t xml:space="preserve">Issue F1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Form F2-1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6"/>
    <w:bookmarkStart w:id="34" w:name="bringing-down-a-craft"/>
    <w:p>
      <w:pPr>
        <w:pStyle w:val="Heading2"/>
      </w:pPr>
      <w:r>
        <w:t xml:space="preserve">2. Bringing down a craft</w:t>
      </w:r>
    </w:p>
    <w:bookmarkStart w:id="28" w:name="domestic-authority"/>
    <w:p>
      <w:pPr>
        <w:pStyle w:val="Heading3"/>
      </w:pPr>
      <w:r>
        <w:t xml:space="preserve">2.1 Domestic authority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Article II.</w:t>
      </w:r>
      <w:r>
        <w:t xml:space="preserve"> </w:t>
      </w:r>
      <w:r>
        <w:t xml:space="preserve">The President’s authority to defend the United States supports the use of force against</w:t>
      </w:r>
      <w:r>
        <w:t xml:space="preserve"> </w:t>
      </w:r>
      <w:r>
        <w:t xml:space="preserve">objects that threaten the country or its airspace. After the February 2023 shootdowns, the President stated</w:t>
      </w:r>
      <w:r>
        <w:t xml:space="preserve"> </w:t>
      </w:r>
      <w:r>
        <w:t xml:space="preserve">that the military</w:t>
      </w:r>
      <w:r>
        <w:t xml:space="preserve"> </w:t>
      </w:r>
      <w:r>
        <w:t xml:space="preserve">“</w:t>
      </w:r>
      <w:r>
        <w:t xml:space="preserve">acted in accordance with established parameters for determining how to deal with</w:t>
      </w:r>
      <w:r>
        <w:t xml:space="preserve"> </w:t>
      </w:r>
      <w:r>
        <w:t xml:space="preserve">unidentified aerial objects in U.S. airspace,</w:t>
      </w:r>
      <w:r>
        <w:t xml:space="preserve">”</w:t>
      </w:r>
      <w:r>
        <w:t xml:space="preserve"> </w:t>
      </w:r>
      <w:r>
        <w:t xml:space="preserve">that he ordered the objects taken down</w:t>
      </w:r>
      <w:r>
        <w:t xml:space="preserve"> </w:t>
      </w:r>
      <w:r>
        <w:t xml:space="preserve">“</w:t>
      </w:r>
      <w:r>
        <w:t xml:space="preserve">due to hazards to</w:t>
      </w:r>
      <w:r>
        <w:t xml:space="preserve"> </w:t>
      </w:r>
      <w:r>
        <w:t xml:space="preserve">civilian commercial air traffic and because we could not rule out the surveillance risk of sensitive</w:t>
      </w:r>
      <w:r>
        <w:t xml:space="preserve"> </w:t>
      </w:r>
      <w:r>
        <w:t xml:space="preserve">facilities,</w:t>
      </w:r>
      <w:r>
        <w:t xml:space="preserve">”</w:t>
      </w:r>
      <w:r>
        <w:t xml:space="preserve"> </w:t>
      </w:r>
      <w:r>
        <w:t xml:space="preserve">and that new</w:t>
      </w:r>
      <w:r>
        <w:t xml:space="preserve"> </w:t>
      </w:r>
      <w:r>
        <w:t xml:space="preserve">“</w:t>
      </w:r>
      <w:r>
        <w:t xml:space="preserve">classified policy parameters</w:t>
      </w:r>
      <w:r>
        <w:t xml:space="preserve">”</w:t>
      </w:r>
      <w:r>
        <w:t xml:space="preserve"> </w:t>
      </w:r>
      <w:r>
        <w:t xml:space="preserve">distinguishing objects that</w:t>
      </w:r>
      <w:r>
        <w:t xml:space="preserve"> </w:t>
      </w:r>
      <w:r>
        <w:t xml:space="preserve">“</w:t>
      </w:r>
      <w:r>
        <w:t xml:space="preserve">necessitate action</w:t>
      </w:r>
      <w:r>
        <w:t xml:space="preserve">”</w:t>
      </w:r>
      <w:r>
        <w:t xml:space="preserve"> </w:t>
      </w:r>
      <w:r>
        <w:t xml:space="preserve">from</w:t>
      </w:r>
      <w:r>
        <w:t xml:space="preserve"> </w:t>
      </w:r>
      <w:r>
        <w:t xml:space="preserve">those that do not would be shared with Congress and</w:t>
      </w:r>
      <w:r>
        <w:t xml:space="preserve"> </w:t>
      </w:r>
      <w:r>
        <w:t xml:space="preserve">“</w:t>
      </w:r>
      <w:r>
        <w:t xml:space="preserve">remain classified.</w:t>
      </w:r>
      <w:r>
        <w:t xml:space="preserve">”</w:t>
      </w:r>
      <w:r>
        <w:t xml:space="preserve"> </w:t>
      </w:r>
      <w:r>
        <w:t xml:space="preserve">Remarks on the United States Response</w:t>
      </w:r>
      <w:r>
        <w:t xml:space="preserve"> </w:t>
      </w:r>
      <w:r>
        <w:t xml:space="preserve">to Unidentified Aerial Objects in North American Airspace (Feb. 16, 2023). The remarks cite</w:t>
      </w:r>
      <w:r>
        <w:t xml:space="preserve"> </w:t>
      </w:r>
      <w:r>
        <w:t xml:space="preserve">no statute, so the action rests by implication on the President’s Article II authority to defend U.S. airspace,</w:t>
      </w:r>
      <w:r>
        <w:t xml:space="preserve"> </w:t>
      </w:r>
      <w:r>
        <w:t xml:space="preserve">and the operative rules of engagement are classified (</w:t>
      </w:r>
      <w:hyperlink r:id="rId27">
        <w:r>
          <w:rPr>
            <w:rStyle w:val="Hyperlink"/>
          </w:rPr>
          <w:t xml:space="preserve">Issue A2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10 U.S.C. §130i</w:t>
      </w:r>
      <w:r>
        <w:t xml:space="preserve"> </w:t>
      </w:r>
      <w:r>
        <w:t xml:space="preserve">lets the Secretary of Defense and authorized personnel,</w:t>
      </w:r>
      <w:r>
        <w:t xml:space="preserve"> </w:t>
      </w:r>
      <w:r>
        <w:t xml:space="preserve">“</w:t>
      </w:r>
      <w:r>
        <w:t xml:space="preserve">[n]otwithstanding section 46502 of</w:t>
      </w:r>
      <w:r>
        <w:t xml:space="preserve"> </w:t>
      </w:r>
      <w:r>
        <w:t xml:space="preserve">title 49, or any provision of title 18,</w:t>
      </w:r>
      <w:r>
        <w:t xml:space="preserve">”</w:t>
      </w:r>
      <w:r>
        <w:t xml:space="preserve"> </w:t>
      </w:r>
      <w:r>
        <w:t xml:space="preserve">take actions</w:t>
      </w:r>
      <w:r>
        <w:t xml:space="preserve"> </w:t>
      </w:r>
      <w:r>
        <w:t xml:space="preserve">“</w:t>
      </w:r>
      <w:r>
        <w:t xml:space="preserve">necessary to mitigate the threat … that an unmanned</w:t>
      </w:r>
      <w:r>
        <w:t xml:space="preserve"> </w:t>
      </w:r>
      <w:r>
        <w:t xml:space="preserve">aircraft system or unmanned aircraft poses to the safety or security of a covered facility or asset</w:t>
      </w:r>
      <w:r>
        <w:t xml:space="preserve">”</w:t>
      </w:r>
      <w:r>
        <w:t xml:space="preserve"> </w:t>
      </w:r>
      <w:r>
        <w:t xml:space="preserve">(§130i(a)). The actions run from detection and tracking to</w:t>
      </w:r>
      <w:r>
        <w:t xml:space="preserve"> </w:t>
      </w:r>
      <w:r>
        <w:t xml:space="preserve">“</w:t>
      </w:r>
      <w:r>
        <w:t xml:space="preserve">[s]eize or otherwise confiscate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[u]se</w:t>
      </w:r>
      <w:r>
        <w:t xml:space="preserve"> </w:t>
      </w:r>
      <w:r>
        <w:t xml:space="preserve">reasonable force to disable, damage, or destroy</w:t>
      </w:r>
      <w:r>
        <w:t xml:space="preserve">”</w:t>
      </w:r>
      <w:r>
        <w:t xml:space="preserve"> </w:t>
      </w:r>
      <w:r>
        <w:t xml:space="preserve">the aircraft (§130i(b)(1)(A)-(F)), and a seized aircraft</w:t>
      </w:r>
      <w:r>
        <w:t xml:space="preserve"> </w:t>
      </w:r>
      <w:r>
        <w:t xml:space="preserve">“</w:t>
      </w:r>
      <w:r>
        <w:t xml:space="preserve">is</w:t>
      </w:r>
      <w:r>
        <w:t xml:space="preserve"> </w:t>
      </w:r>
      <w:r>
        <w:t xml:space="preserve">subject to forfeiture to the United States</w:t>
      </w:r>
      <w:r>
        <w:t xml:space="preserve">”</w:t>
      </w:r>
      <w:r>
        <w:t xml:space="preserve"> </w:t>
      </w:r>
      <w:r>
        <w:t xml:space="preserve">(§130i(c)).</w:t>
      </w:r>
      <w:r>
        <w:t xml:space="preserve"> </w:t>
      </w:r>
      <w:r>
        <w:t xml:space="preserve">“</w:t>
      </w:r>
      <w:r>
        <w:t xml:space="preserve">Covered facility or asset</w:t>
      </w:r>
      <w:r>
        <w:t xml:space="preserve">”</w:t>
      </w:r>
      <w:r>
        <w:t xml:space="preserve"> </w:t>
      </w:r>
      <w:r>
        <w:t xml:space="preserve">is limited to designated</w:t>
      </w:r>
      <w:r>
        <w:t xml:space="preserve"> </w:t>
      </w:r>
      <w:r>
        <w:t xml:space="preserve">U.S. sites tied to listed DoD missions such as nuclear deterrence, missile defense, and national security space</w:t>
      </w:r>
      <w:r>
        <w:t xml:space="preserve"> </w:t>
      </w:r>
      <w:r>
        <w:t xml:space="preserve">(§130i(j)(3)); authority for some categories (clauses (iv)-(viii)) ends December 31, 2026 unless extended</w:t>
      </w:r>
      <w:r>
        <w:t xml:space="preserve"> </w:t>
      </w:r>
      <w:r>
        <w:t xml:space="preserve">(§130i(i)). The statute adopts the aviation-law definition of</w:t>
      </w:r>
      <w:r>
        <w:t xml:space="preserve"> </w:t>
      </w:r>
      <w:r>
        <w:t xml:space="preserve">“</w:t>
      </w:r>
      <w:r>
        <w:t xml:space="preserve">unmanned aircraft</w:t>
      </w:r>
      <w:r>
        <w:t xml:space="preserve">”</w:t>
      </w:r>
      <w:r>
        <w:t xml:space="preserve">:</w:t>
      </w:r>
      <w:r>
        <w:t xml:space="preserve"> </w:t>
      </w:r>
      <w:r>
        <w:t xml:space="preserve">“</w:t>
      </w:r>
      <w:r>
        <w:t xml:space="preserve">an aircraft that is</w:t>
      </w:r>
      <w:r>
        <w:t xml:space="preserve"> </w:t>
      </w:r>
      <w:r>
        <w:t xml:space="preserve">operated without the possibility of direct human intervention from within or on the aircraft</w:t>
      </w:r>
      <w:r>
        <w:t xml:space="preserve">”</w:t>
      </w:r>
      <w:r>
        <w:t xml:space="preserve"> </w:t>
      </w:r>
      <w:r>
        <w:t xml:space="preserve">(49 U.S.C.</w:t>
      </w:r>
      <w:r>
        <w:t xml:space="preserve"> </w:t>
      </w:r>
      <w:r>
        <w:t xml:space="preserve">§44801(11); §130i(j)(6)). Read literally, a craft operated by a non-human occupant has no possibility of direct</w:t>
      </w:r>
      <w:r>
        <w:t xml:space="preserve"> </w:t>
      </w:r>
      <w:r>
        <w:rPr>
          <w:iCs/>
          <w:i/>
        </w:rPr>
        <w:t xml:space="preserve">human</w:t>
      </w:r>
      <w:r>
        <w:t xml:space="preserve"> </w:t>
      </w:r>
      <w:r>
        <w:t xml:space="preserve">intervention and so is an</w:t>
      </w:r>
      <w:r>
        <w:t xml:space="preserve"> </w:t>
      </w:r>
      <w:r>
        <w:t xml:space="preserve">“</w:t>
      </w:r>
      <w:r>
        <w:t xml:space="preserve">unmanned aircraft,</w:t>
      </w:r>
      <w:r>
        <w:t xml:space="preserve">”</w:t>
      </w:r>
      <w:r>
        <w:t xml:space="preserve"> </w:t>
      </w:r>
      <w:r>
        <w:t xml:space="preserve">which would bring NHI craft over covered sites within</w:t>
      </w:r>
      <w:r>
        <w:t xml:space="preserve"> </w:t>
      </w:r>
      <w:r>
        <w:t xml:space="preserve">§130i’s use-of-force and forfeiture provisions. The FY2026 NDAA ordered a review of differences among the</w:t>
      </w:r>
      <w:r>
        <w:t xml:space="preserve"> </w:t>
      </w:r>
      <w:r>
        <w:t xml:space="preserve">military departments in interpreting §130i, including</w:t>
      </w:r>
      <w:r>
        <w:t xml:space="preserve"> </w:t>
      </w:r>
      <w:r>
        <w:t xml:space="preserve">“</w:t>
      </w:r>
      <w:r>
        <w:t xml:space="preserve">unnecessarily limited legal interpretations</w:t>
      </w:r>
      <w:r>
        <w:t xml:space="preserve">”</w:t>
      </w:r>
      <w:r>
        <w:t xml:space="preserve"> </w:t>
      </w:r>
      <w:r>
        <w:t xml:space="preserve">of</w:t>
      </w:r>
      <w:r>
        <w:t xml:space="preserve"> </w:t>
      </w:r>
      <w:r>
        <w:t xml:space="preserve">covered facilities (Pub. L. 119-60, 139 Stat. 1017-18).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War Powers Resolution</w:t>
      </w:r>
      <w:r>
        <w:t xml:space="preserve"> </w:t>
      </w:r>
      <w:r>
        <w:t xml:space="preserve">(50 U.S.C. §1541 et seq.) reporting would be triggered by introduction of forces into</w:t>
      </w:r>
      <w:r>
        <w:t xml:space="preserve"> </w:t>
      </w:r>
      <w:r>
        <w:t xml:space="preserve">hostilities; whether hostilities with NHI exist is a threshold question.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No authority to attack non-threatening craft for recovery.</w:t>
      </w:r>
      <w:r>
        <w:t xml:space="preserve"> </w:t>
      </w:r>
      <w:r>
        <w:t xml:space="preserve">If, as alleged, programs deliberately brought down</w:t>
      </w:r>
      <w:r>
        <w:t xml:space="preserve"> </w:t>
      </w:r>
      <w:r>
        <w:t xml:space="preserve">craft to recover technology, the action would fall outside defensive authority. Whether it violated any statute</w:t>
      </w:r>
      <w:r>
        <w:t xml:space="preserve"> </w:t>
      </w:r>
      <w:r>
        <w:t xml:space="preserve">depends on whether the craft and occupants are protected by law (property and persons questions) and whether the</w:t>
      </w:r>
      <w:r>
        <w:t xml:space="preserve"> </w:t>
      </w:r>
      <w:r>
        <w:t xml:space="preserve">operation complied with SAP reporting and funding requirements (Issues D1, D3).</w:t>
      </w:r>
    </w:p>
    <w:bookmarkEnd w:id="28"/>
    <w:bookmarkStart w:id="29" w:name="Xc7726bf208af5c67a5fe295768708d683bb79f6"/>
    <w:p>
      <w:pPr>
        <w:pStyle w:val="Heading3"/>
      </w:pPr>
      <w:r>
        <w:t xml:space="preserve">2.1A Destruction of aircraft and domestic authorities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Destruction of aircraft.</w:t>
      </w:r>
      <w:r>
        <w:t xml:space="preserve"> </w:t>
      </w:r>
      <w:r>
        <w:t xml:space="preserve">Federal law defines</w:t>
      </w:r>
      <w:r>
        <w:t xml:space="preserve"> </w:t>
      </w:r>
      <w:r>
        <w:t xml:space="preserve">“</w:t>
      </w:r>
      <w:r>
        <w:t xml:space="preserve">aircraft</w:t>
      </w:r>
      <w:r>
        <w:t xml:space="preserve">”</w:t>
      </w:r>
      <w:r>
        <w:t xml:space="preserve"> </w:t>
      </w:r>
      <w:r>
        <w:t xml:space="preserve">as</w:t>
      </w:r>
      <w:r>
        <w:t xml:space="preserve"> </w:t>
      </w:r>
      <w:r>
        <w:t xml:space="preserve">“</w:t>
      </w:r>
      <w:r>
        <w:t xml:space="preserve">any contrivance invented, used, or designed to</w:t>
      </w:r>
      <w:r>
        <w:t xml:space="preserve"> </w:t>
      </w:r>
      <w:r>
        <w:t xml:space="preserve">navigate, or fly in, the air</w:t>
      </w:r>
      <w:r>
        <w:t xml:space="preserve">”</w:t>
      </w:r>
      <w:r>
        <w:t xml:space="preserve"> </w:t>
      </w:r>
      <w:r>
        <w:t xml:space="preserve">(49 U.S.C. §40102(a)(6)), a definition that fits a non-human craft. But the federal</w:t>
      </w:r>
      <w:r>
        <w:t xml:space="preserve"> </w:t>
      </w:r>
      <w:r>
        <w:t xml:space="preserve">offense of destroying an aircraft reaches only an aircraft</w:t>
      </w:r>
      <w:r>
        <w:t xml:space="preserve"> </w:t>
      </w:r>
      <w:r>
        <w:t xml:space="preserve">“</w:t>
      </w:r>
      <w:r>
        <w:t xml:space="preserve">in the special aircraft jurisdiction of the United</w:t>
      </w:r>
      <w:r>
        <w:t xml:space="preserve"> </w:t>
      </w:r>
      <w:r>
        <w:t xml:space="preserve">States</w:t>
      </w:r>
      <w:r>
        <w:t xml:space="preserve">”</w:t>
      </w:r>
      <w:r>
        <w:t xml:space="preserve"> </w:t>
      </w:r>
      <w:r>
        <w:t xml:space="preserve">or a civil aircraft used in interstate, overseas, or foreign air commerce (18 U.S.C. §32(a)(1)), so it would</w:t>
      </w:r>
      <w:r>
        <w:t xml:space="preserve"> </w:t>
      </w:r>
      <w:r>
        <w:t xml:space="preserve">not reach the downing of a non-human craft unless Congress amended it.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Domestic counter-drone authority.</w:t>
      </w:r>
      <w:r>
        <w:t xml:space="preserve"> </w:t>
      </w:r>
      <w:r>
        <w:t xml:space="preserve">Besides DoD’s §130i, the Departments of Homeland Security and Justice may</w:t>
      </w:r>
      <w:r>
        <w:t xml:space="preserve"> </w:t>
      </w:r>
      <w:r>
        <w:t xml:space="preserve">take action against unmanned aircraft that pose a</w:t>
      </w:r>
      <w:r>
        <w:t xml:space="preserve"> </w:t>
      </w:r>
      <w:r>
        <w:t xml:space="preserve">“</w:t>
      </w:r>
      <w:r>
        <w:t xml:space="preserve">credible threat</w:t>
      </w:r>
      <w:r>
        <w:t xml:space="preserve">”</w:t>
      </w:r>
      <w:r>
        <w:t xml:space="preserve"> </w:t>
      </w:r>
      <w:r>
        <w:t xml:space="preserve">to covered facilities and assets (6 U.S.C.</w:t>
      </w:r>
      <w:r>
        <w:t xml:space="preserve"> </w:t>
      </w:r>
      <w:r>
        <w:t xml:space="preserve">§124n). The same literal reading of</w:t>
      </w:r>
      <w:r>
        <w:t xml:space="preserve"> </w:t>
      </w:r>
      <w:r>
        <w:t xml:space="preserve">“</w:t>
      </w:r>
      <w:r>
        <w:t xml:space="preserve">unmanned aircraft</w:t>
      </w:r>
      <w:r>
        <w:t xml:space="preserve">”</w:t>
      </w:r>
      <w:r>
        <w:t xml:space="preserve"> </w:t>
      </w:r>
      <w:r>
        <w:t xml:space="preserve">applies.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Domestic use of the military.</w:t>
      </w:r>
      <w:r>
        <w:t xml:space="preserve"> </w:t>
      </w:r>
      <w:r>
        <w:t xml:space="preserve">The Posse Comitatus Act (18 U.S.C. §1385) bars use of the Army, Navy, Marine</w:t>
      </w:r>
      <w:r>
        <w:t xml:space="preserve"> </w:t>
      </w:r>
      <w:r>
        <w:t xml:space="preserve">Corps, Air Force, or Space Force to execute the laws except where expressly authorized. A military recovery</w:t>
      </w:r>
      <w:r>
        <w:t xml:space="preserve"> </w:t>
      </w:r>
      <w:r>
        <w:t xml:space="preserve">operation on private land and the detention of occupants would be lawful only under a statutory exception or as a</w:t>
      </w:r>
      <w:r>
        <w:t xml:space="preserve"> </w:t>
      </w:r>
      <w:r>
        <w:t xml:space="preserve">military function not involving law enforcement against civilians, a line that would be litigated.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International aviation law by analogy.</w:t>
      </w:r>
      <w:r>
        <w:t xml:space="preserve"> </w:t>
      </w:r>
      <w:r>
        <w:t xml:space="preserve">States must</w:t>
      </w:r>
      <w:r>
        <w:t xml:space="preserve"> </w:t>
      </w:r>
      <w:r>
        <w:t xml:space="preserve">“</w:t>
      </w:r>
      <w:r>
        <w:t xml:space="preserve">refrain from resorting to the use of weapons against civil</w:t>
      </w:r>
      <w:r>
        <w:t xml:space="preserve"> </w:t>
      </w:r>
      <w:r>
        <w:t xml:space="preserve">aircraft in flight</w:t>
      </w:r>
      <w:r>
        <w:t xml:space="preserve">”</w:t>
      </w:r>
      <w:r>
        <w:t xml:space="preserve"> </w:t>
      </w:r>
      <w:r>
        <w:t xml:space="preserve">(Chicago Convention art. 3 bis). The article protects civil aircraft of states and does not</w:t>
      </w:r>
      <w:r>
        <w:t xml:space="preserve"> </w:t>
      </w:r>
      <w:r>
        <w:t xml:space="preserve">apply to non-human craft, but its principle (force only as a last resort, after interception and warning) is the</w:t>
      </w:r>
      <w:r>
        <w:t xml:space="preserve"> </w:t>
      </w:r>
      <w:r>
        <w:t xml:space="preserve">natural standard for rules of engagement.</w:t>
      </w:r>
    </w:p>
    <w:bookmarkEnd w:id="29"/>
    <w:bookmarkStart w:id="31" w:name="methods"/>
    <w:p>
      <w:pPr>
        <w:pStyle w:val="Heading3"/>
      </w:pPr>
      <w:r>
        <w:t xml:space="preserve">2.2 Methods</w:t>
      </w:r>
    </w:p>
    <w:p>
      <w:pPr>
        <w:pStyle w:val="FirstParagraph"/>
      </w:pPr>
      <w:r>
        <w:t xml:space="preserve">Allegations include use of directed energy or electronic means to disable craft. Directed-energy and electronic</w:t>
      </w:r>
      <w:r>
        <w:t xml:space="preserve"> </w:t>
      </w:r>
      <w:r>
        <w:t xml:space="preserve">warfare capabilities are subject to DoD’s weapons review requirements. DoD Directive 5000.01 (Sept. 9, 2020,</w:t>
      </w:r>
      <w:r>
        <w:t xml:space="preserve"> </w:t>
      </w:r>
      <w:r>
        <w:t xml:space="preserve">Ch. 1 July 28, 2022) requires that</w:t>
      </w:r>
      <w:r>
        <w:t xml:space="preserve"> </w:t>
      </w:r>
      <w:r>
        <w:t xml:space="preserve">“</w:t>
      </w:r>
      <w:r>
        <w:t xml:space="preserve">[a]n attorney authorized to conduct such legal reviews in the DoD must</w:t>
      </w:r>
      <w:r>
        <w:t xml:space="preserve"> </w:t>
      </w:r>
      <w:r>
        <w:t xml:space="preserve">conduct the legal review of the intended acquisition of weapons or weapons systems,</w:t>
      </w:r>
      <w:r>
        <w:t xml:space="preserve">”</w:t>
      </w:r>
      <w:r>
        <w:t xml:space="preserve"> </w:t>
      </w:r>
      <w:r>
        <w:t xml:space="preserve">and that resulting</w:t>
      </w:r>
      <w:r>
        <w:t xml:space="preserve"> </w:t>
      </w:r>
      <w:r>
        <w:t xml:space="preserve">systems comply with treaties, customary international law, and the law of armed conflict (¶1.2.v). DoD</w:t>
      </w:r>
      <w:r>
        <w:t xml:space="preserve"> </w:t>
      </w:r>
      <w:r>
        <w:t xml:space="preserve">Directive 2311.01 ¶1.2.d (July 2, 2020) likewise requires that</w:t>
      </w:r>
      <w:r>
        <w:t xml:space="preserve"> </w:t>
      </w:r>
      <w:r>
        <w:t xml:space="preserve">“</w:t>
      </w:r>
      <w:r>
        <w:t xml:space="preserve">[t]he intended acquisition, procurement, or</w:t>
      </w:r>
      <w:r>
        <w:t xml:space="preserve"> </w:t>
      </w:r>
      <w:r>
        <w:t xml:space="preserve">modification of weapons or weapon systems is reviewed for consistency with the law of war.</w:t>
      </w:r>
      <w:r>
        <w:t xml:space="preserve">”</w:t>
      </w:r>
      <w:r>
        <w:t xml:space="preserve"> </w:t>
      </w:r>
      <w:r>
        <w:t xml:space="preserve">A program that</w:t>
      </w:r>
      <w:r>
        <w:t xml:space="preserve"> </w:t>
      </w:r>
      <w:r>
        <w:t xml:space="preserve">fielded a capability to disable craft would therefore have generated a legal review, which is a record</w:t>
      </w:r>
      <w:r>
        <w:t xml:space="preserve"> </w:t>
      </w:r>
      <w:r>
        <w:t xml:space="preserve">worth requesting (</w:t>
      </w:r>
      <w:hyperlink r:id="rId30">
        <w:r>
          <w:rPr>
            <w:rStyle w:val="Hyperlink"/>
          </w:rPr>
          <w:t xml:space="preserve">Issue B1</w:t>
        </w:r>
      </w:hyperlink>
      <w:r>
        <w:t xml:space="preserve">) and a document that would show what targets the review contemplated. In armed</w:t>
      </w:r>
      <w:r>
        <w:t xml:space="preserve"> </w:t>
      </w:r>
      <w:r>
        <w:t xml:space="preserve">conflict, LOAC weapons law also applies.</w:t>
      </w:r>
    </w:p>
    <w:bookmarkEnd w:id="31"/>
    <w:bookmarkStart w:id="33" w:name="what-insiders-describe"/>
    <w:p>
      <w:pPr>
        <w:pStyle w:val="Heading3"/>
      </w:pPr>
      <w:r>
        <w:t xml:space="preserve">2.3 What insiders describe</w:t>
      </w:r>
    </w:p>
    <w:p>
      <w:pPr>
        <w:pStyle w:val="FirstParagraph"/>
      </w:pPr>
      <w:r>
        <w:t xml:space="preserve">A former director of the Navy’s UAP Task Force describes crash recoveries</w:t>
      </w:r>
      <w:r>
        <w:t xml:space="preserve"> </w:t>
      </w:r>
      <w:r>
        <w:t xml:space="preserve">“</w:t>
      </w:r>
      <w:r>
        <w:t xml:space="preserve">primarily executed through Air Force</w:t>
      </w:r>
      <w:r>
        <w:t xml:space="preserve"> </w:t>
      </w:r>
      <w:r>
        <w:t xml:space="preserve">special operations, but sometimes other special operations units from the Army and Navy,</w:t>
      </w:r>
      <w:r>
        <w:t xml:space="preserve">”</w:t>
      </w:r>
      <w:r>
        <w:t xml:space="preserve"> </w:t>
      </w:r>
      <w:r>
        <w:t xml:space="preserve">and reports that some</w:t>
      </w:r>
      <w:r>
        <w:t xml:space="preserve"> </w:t>
      </w:r>
      <w:r>
        <w:t xml:space="preserve">occupants survived the crashes and later died (Jay Stratton,</w:t>
      </w:r>
      <w:r>
        <w:t xml:space="preserve"> </w:t>
      </w:r>
      <w:r>
        <w:rPr>
          <w:iCs/>
          <w:i/>
        </w:rPr>
        <w:t xml:space="preserve">Out of the Shadows</w:t>
      </w:r>
      <w:r>
        <w:t xml:space="preserve"> </w:t>
      </w:r>
      <w:r>
        <w:t xml:space="preserve">ch. 8 (2026)). If those accounts</w:t>
      </w:r>
      <w:r>
        <w:t xml:space="preserve"> </w:t>
      </w:r>
      <w:r>
        <w:t xml:space="preserve">are accurate, the recovery teams’ engagement and material-transfer records (§4.1 below) are the core evidence, and on</w:t>
      </w:r>
      <w:r>
        <w:t xml:space="preserve"> </w:t>
      </w:r>
      <w:r>
        <w:t xml:space="preserve">the site’s premise that AARO is part of the concealment, the fact that the 2023 Joint Staff order routes engagement</w:t>
      </w:r>
      <w:r>
        <w:t xml:space="preserve"> </w:t>
      </w:r>
      <w:r>
        <w:t xml:space="preserve">reports to AARO means the records may be held by the office least likely to release them. Requests should go to the</w:t>
      </w:r>
      <w:r>
        <w:t xml:space="preserve"> </w:t>
      </w:r>
      <w:r>
        <w:t xml:space="preserve">commands as well (</w:t>
      </w:r>
      <w:hyperlink r:id="rId32">
        <w:r>
          <w:rPr>
            <w:rStyle w:val="Hyperlink"/>
          </w:rPr>
          <w:t xml:space="preserve">Form B1-1</w:t>
        </w:r>
      </w:hyperlink>
      <w:r>
        <w:t xml:space="preserve">).</w:t>
      </w:r>
    </w:p>
    <w:bookmarkEnd w:id="33"/>
    <w:bookmarkEnd w:id="34"/>
    <w:bookmarkStart w:id="40" w:name="capture-and-detention"/>
    <w:p>
      <w:pPr>
        <w:pStyle w:val="Heading2"/>
      </w:pPr>
      <w:r>
        <w:t xml:space="preserve">3. Capture and detention</w:t>
      </w:r>
    </w:p>
    <w:bookmarkStart w:id="37" w:name="if-no-armed-conflict-exists"/>
    <w:p>
      <w:pPr>
        <w:pStyle w:val="Heading3"/>
      </w:pPr>
      <w:r>
        <w:t xml:space="preserve">3.1 If no armed conflict exists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Due process.</w:t>
      </w:r>
      <w:r>
        <w:t xml:space="preserve"> </w:t>
      </w:r>
      <w:r>
        <w:t xml:space="preserve">If an NHI is a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 </w:t>
      </w:r>
      <w:r>
        <w:t xml:space="preserve">under the Fifth Amendment (</w:t>
      </w:r>
      <w:hyperlink r:id="rId21">
        <w:r>
          <w:rPr>
            <w:rStyle w:val="Hyperlink"/>
          </w:rPr>
          <w:t xml:space="preserve">Issue F1</w:t>
        </w:r>
      </w:hyperlink>
      <w:r>
        <w:t xml:space="preserve">), detention without process</w:t>
      </w:r>
      <w:r>
        <w:t xml:space="preserve"> </w:t>
      </w:r>
      <w:r>
        <w:t xml:space="preserve">violates due process.</w:t>
      </w:r>
      <w:r>
        <w:t xml:space="preserve"> </w:t>
      </w:r>
      <w:r>
        <w:rPr>
          <w:iCs/>
          <w:i/>
        </w:rPr>
        <w:t xml:space="preserve">Zadvydas v. Davis</w:t>
      </w:r>
      <w:r>
        <w:t xml:space="preserve">, 533 U.S. 678 (2001) (limits on indefinite detention of aliens).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Habeas.</w:t>
      </w:r>
      <w:r>
        <w:t xml:space="preserve"> </w:t>
      </w:r>
      <w:r>
        <w:t xml:space="preserve">A next friend could petition for habeas corpus (28 U.S.C. §2241) on behalf of a detained NHI. The</w:t>
      </w:r>
      <w:r>
        <w:t xml:space="preserve"> </w:t>
      </w:r>
      <w:r>
        <w:t xml:space="preserve">government would argue the being is not a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 </w:t>
      </w:r>
      <w:r>
        <w:t xml:space="preserve">within the writ (</w:t>
      </w:r>
      <w:r>
        <w:rPr>
          <w:iCs/>
          <w:i/>
        </w:rPr>
        <w:t xml:space="preserve">Breheny</w:t>
      </w:r>
      <w:r>
        <w:t xml:space="preserve">), that next-friend standing is</w:t>
      </w:r>
      <w:r>
        <w:t xml:space="preserve"> </w:t>
      </w:r>
      <w:r>
        <w:t xml:space="preserve">lacking (</w:t>
      </w:r>
      <w:r>
        <w:rPr>
          <w:iCs/>
          <w:i/>
        </w:rPr>
        <w:t xml:space="preserve">Whitmore v. Arkansas</w:t>
      </w:r>
      <w:r>
        <w:t xml:space="preserve">, 495 U.S. 149 (1990)), and that the state secrets privilege bars the case.</w:t>
      </w:r>
      <w:r>
        <w:t xml:space="preserve"> </w:t>
      </w:r>
      <w:hyperlink r:id="rId35">
        <w:r>
          <w:rPr>
            <w:rStyle w:val="Hyperlink"/>
          </w:rPr>
          <w:t xml:space="preserve">Form F1-1</w:t>
        </w:r>
      </w:hyperlink>
      <w:r>
        <w:t xml:space="preserve"> </w:t>
      </w:r>
      <w:r>
        <w:t xml:space="preserve">is the federal petition.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Custody by a contractor.</w:t>
      </w:r>
      <w:r>
        <w:t xml:space="preserve"> </w:t>
      </w:r>
      <w:r>
        <w:t xml:space="preserve">The insider accounts describe recovered occupants held at contractor facilities.</w:t>
      </w:r>
      <w:r>
        <w:t xml:space="preserve"> </w:t>
      </w:r>
      <w:r>
        <w:t xml:space="preserve">If the contractor holds a being for the United States, the custody is</w:t>
      </w:r>
      <w:r>
        <w:t xml:space="preserve"> </w:t>
      </w:r>
      <w:r>
        <w:t xml:space="preserve">“</w:t>
      </w:r>
      <w:r>
        <w:t xml:space="preserve">under or by color of the authority of</w:t>
      </w:r>
      <w:r>
        <w:t xml:space="preserve"> </w:t>
      </w:r>
      <w:r>
        <w:t xml:space="preserve">the United States</w:t>
      </w:r>
      <w:r>
        <w:t xml:space="preserve">”</w:t>
      </w:r>
      <w:r>
        <w:t xml:space="preserve"> </w:t>
      </w:r>
      <w:r>
        <w:t xml:space="preserve">and federal habeas applies (28 U.S.C. §2241(c)(1)). If the contractor claims to hold it on</w:t>
      </w:r>
      <w:r>
        <w:t xml:space="preserve"> </w:t>
      </w:r>
      <w:r>
        <w:t xml:space="preserve">its own account, state habeas statutes reach restraint by private persons</w:t>
      </w:r>
      <w:r>
        <w:t xml:space="preserve"> </w:t>
      </w:r>
      <w:r>
        <w:t xml:space="preserve">“</w:t>
      </w:r>
      <w:r>
        <w:t xml:space="preserve">under any pretense</w:t>
      </w:r>
      <w:r>
        <w:t xml:space="preserve">”</w:t>
      </w:r>
      <w:r>
        <w:t xml:space="preserve"> </w:t>
      </w:r>
      <w:r>
        <w:t xml:space="preserve">(Cal. Penal</w:t>
      </w:r>
      <w:r>
        <w:t xml:space="preserve"> </w:t>
      </w:r>
      <w:r>
        <w:t xml:space="preserve">Code §1473(a); Nev. Rev. Stat. §34.360). A state court cannot release a person held under federal authority</w:t>
      </w:r>
      <w:r>
        <w:t xml:space="preserve"> </w:t>
      </w:r>
      <w:r>
        <w:t xml:space="preserve">(</w:t>
      </w:r>
      <w:r>
        <w:rPr>
          <w:iCs/>
          <w:i/>
        </w:rPr>
        <w:t xml:space="preserve">Tarble’s Case</w:t>
      </w:r>
      <w:r>
        <w:t xml:space="preserve">, 80 U.S. (13 Wall.) 397 (1872)), so a state petition asks the custodian to state in its return</w:t>
      </w:r>
      <w:r>
        <w:t xml:space="preserve"> </w:t>
      </w:r>
      <w:r>
        <w:t xml:space="preserve">whether it claims that authority, and a contractor that removes the case under 28 U.S.C. §1442(a)(1) concedes</w:t>
      </w:r>
      <w:r>
        <w:t xml:space="preserve"> </w:t>
      </w:r>
      <w:r>
        <w:t xml:space="preserve">it.</w:t>
      </w:r>
      <w:r>
        <w:t xml:space="preserve"> </w:t>
      </w:r>
      <w:hyperlink r:id="rId36">
        <w:r>
          <w:rPr>
            <w:rStyle w:val="Hyperlink"/>
          </w:rPr>
          <w:t xml:space="preserve">Form F1-2</w:t>
        </w:r>
      </w:hyperlink>
      <w:r>
        <w:t xml:space="preserve"> </w:t>
      </w:r>
      <w:r>
        <w:t xml:space="preserve">is built on that choice. If the being is made to work or to submit to testing, the Thirteenth</w:t>
      </w:r>
      <w:r>
        <w:t xml:space="preserve"> </w:t>
      </w:r>
      <w:r>
        <w:t xml:space="preserve">Amendment’s bar on involuntary servitude, which reaches private conduct, adds a ground (</w:t>
      </w:r>
      <w:r>
        <w:rPr>
          <w:iCs/>
          <w:i/>
        </w:rPr>
        <w:t xml:space="preserve">United States v.</w:t>
      </w:r>
      <w:r>
        <w:rPr>
          <w:iCs/>
          <w:i/>
        </w:rPr>
        <w:t xml:space="preserve"> </w:t>
      </w:r>
      <w:r>
        <w:rPr>
          <w:iCs/>
          <w:i/>
        </w:rPr>
        <w:t xml:space="preserve">Kozminski</w:t>
      </w:r>
      <w:r>
        <w:t xml:space="preserve">, 487 U.S. 931 (1988)).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Conditions.</w:t>
      </w:r>
      <w:r>
        <w:t xml:space="preserve"> </w:t>
      </w:r>
      <w:r>
        <w:t xml:space="preserve">If not a person, the being would be protected only by animal-welfare laws, which are poorly</w:t>
      </w:r>
      <w:r>
        <w:t xml:space="preserve"> </w:t>
      </w:r>
      <w:r>
        <w:t xml:space="preserve">suited.</w:t>
      </w:r>
    </w:p>
    <w:bookmarkEnd w:id="37"/>
    <w:bookmarkStart w:id="39" w:name="if-an-armed-conflict-exists"/>
    <w:p>
      <w:pPr>
        <w:pStyle w:val="Heading3"/>
      </w:pPr>
      <w:r>
        <w:t xml:space="preserve">3.2 If an armed conflict exists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Classification.</w:t>
      </w:r>
      <w:r>
        <w:t xml:space="preserve"> </w:t>
      </w:r>
      <w:r>
        <w:t xml:space="preserve">A conflict between a state and an organized NHI group could be analogized to an</w:t>
      </w:r>
      <w:r>
        <w:t xml:space="preserve"> </w:t>
      </w:r>
      <w:r>
        <w:t xml:space="preserve">international armed conflict (if the NHI group is treated as a state-like entity) or a non-international armed</w:t>
      </w:r>
      <w:r>
        <w:t xml:space="preserve"> </w:t>
      </w:r>
      <w:r>
        <w:t xml:space="preserve">conflict (if treated as an organized armed group) (</w:t>
      </w:r>
      <w:hyperlink r:id="rId38">
        <w:r>
          <w:rPr>
            <w:rStyle w:val="Hyperlink"/>
          </w:rPr>
          <w:t xml:space="preserve">Issue F5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Treatment.</w:t>
      </w:r>
      <w:r>
        <w:t xml:space="preserve"> </w:t>
      </w:r>
      <w:r>
        <w:t xml:space="preserve">Common Article 3 of the Geneva Conventions prohibits murder, cruel treatment, torture, and</w:t>
      </w:r>
      <w:r>
        <w:t xml:space="preserve"> </w:t>
      </w:r>
      <w:r>
        <w:t xml:space="preserve">outrages upon personal dignity of persons taking no active part in hostilities, including those placed hors de</w:t>
      </w:r>
      <w:r>
        <w:t xml:space="preserve"> </w:t>
      </w:r>
      <w:r>
        <w:t xml:space="preserve">combat by detention or wounds. 42 U.S.C. §2000dd-2 bars subjecting an</w:t>
      </w:r>
      <w:r>
        <w:t xml:space="preserve"> </w:t>
      </w:r>
      <w:r>
        <w:t xml:space="preserve">“</w:t>
      </w:r>
      <w:r>
        <w:t xml:space="preserve">individual</w:t>
      </w:r>
      <w:r>
        <w:t xml:space="preserve">”</w:t>
      </w:r>
      <w:r>
        <w:t xml:space="preserve"> </w:t>
      </w:r>
      <w:r>
        <w:t xml:space="preserve">who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w:r>
        <w:t xml:space="preserve">in the custody or under the effective control of an officer, employee, or other agent of the United States</w:t>
      </w:r>
      <w:r>
        <w:t xml:space="preserve"> </w:t>
      </w:r>
      <w:r>
        <w:t xml:space="preserve">Government</w:t>
      </w:r>
      <w:r>
        <w:t xml:space="preserve">”</w:t>
      </w:r>
      <w:r>
        <w:t xml:space="preserve"> </w:t>
      </w:r>
      <w:r>
        <w:t xml:space="preserve">(or detained in a U.S. facility in any armed conflict) to any interrogation technique not authorized</w:t>
      </w:r>
      <w:r>
        <w:t xml:space="preserve"> </w:t>
      </w:r>
      <w:r>
        <w:t xml:space="preserve">by Army Field Manual 2-22.3; it does not apply to FBI, DHS, or other federal law enforcement interrogations.</w:t>
      </w:r>
      <w:r>
        <w:t xml:space="preserve"> </w:t>
      </w:r>
      <w:r>
        <w:t xml:space="preserve">Whether an NHI is an</w:t>
      </w:r>
      <w:r>
        <w:t xml:space="preserve"> </w:t>
      </w:r>
      <w:r>
        <w:t xml:space="preserve">“</w:t>
      </w:r>
      <w:r>
        <w:t xml:space="preserve">individual</w:t>
      </w:r>
      <w:r>
        <w:t xml:space="preserve">”</w:t>
      </w:r>
      <w:r>
        <w:t xml:space="preserve"> </w:t>
      </w:r>
      <w:r>
        <w:t xml:space="preserve">is a textual question of first impression; the statute’s purpose (preventing</w:t>
      </w:r>
      <w:r>
        <w:t xml:space="preserve"> </w:t>
      </w:r>
      <w:r>
        <w:t xml:space="preserve">coercive interrogation) supports coverage.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Persons hors de combat.</w:t>
      </w:r>
      <w:r>
        <w:t xml:space="preserve"> </w:t>
      </w:r>
      <w:r>
        <w:t xml:space="preserve">Customary law (reflected in Additional Protocol I, Art. 41) prohibits attacking a</w:t>
      </w:r>
      <w:r>
        <w:t xml:space="preserve"> </w:t>
      </w:r>
      <w:r>
        <w:t xml:space="preserve">person who is hors de combat (in the power of an adverse party, clearly expressing surrender, or incapacitated by</w:t>
      </w:r>
      <w:r>
        <w:t xml:space="preserve"> </w:t>
      </w:r>
      <w:r>
        <w:t xml:space="preserve">wounds). Survivors of a downed craft would be in that category. The DoD</w:t>
      </w:r>
      <w:r>
        <w:t xml:space="preserve"> </w:t>
      </w:r>
      <w:r>
        <w:rPr>
          <w:iCs/>
          <w:i/>
        </w:rPr>
        <w:t xml:space="preserve">Law of War Manual</w:t>
      </w:r>
      <w:r>
        <w:t xml:space="preserve"> </w:t>
      </w:r>
      <w:r>
        <w:t xml:space="preserve">(June 2015, updated</w:t>
      </w:r>
      <w:r>
        <w:t xml:space="preserve"> </w:t>
      </w:r>
      <w:r>
        <w:t xml:space="preserve">July 2023) is the authoritative U.S. statement of these rules, of detainee treatment, and of the weapons-review</w:t>
      </w:r>
      <w:r>
        <w:t xml:space="preserve"> </w:t>
      </w:r>
      <w:r>
        <w:t xml:space="preserve">requirement, and it applies to U.S. forces</w:t>
      </w:r>
      <w:r>
        <w:t xml:space="preserve"> </w:t>
      </w:r>
      <w:r>
        <w:t xml:space="preserve">“</w:t>
      </w:r>
      <w:r>
        <w:t xml:space="preserve">during all armed conflicts, however characterized</w:t>
      </w:r>
      <w:r>
        <w:t xml:space="preserve">”</w:t>
      </w:r>
      <w:r>
        <w:t xml:space="preserve"> </w:t>
      </w:r>
      <w:r>
        <w:t xml:space="preserve">(DoD Directive</w:t>
      </w:r>
      <w:r>
        <w:t xml:space="preserve"> </w:t>
      </w:r>
      <w:r>
        <w:t xml:space="preserve">2311.01 ¶1.2.a;</w:t>
      </w:r>
      <w:r>
        <w:t xml:space="preserve"> </w:t>
      </w:r>
      <w:hyperlink r:id="rId38">
        <w:r>
          <w:rPr>
            <w:rStyle w:val="Hyperlink"/>
          </w:rPr>
          <w:t xml:space="preserve">Issue F5</w:t>
        </w:r>
      </w:hyperlink>
      <w:r>
        <w:t xml:space="preserve">).</w:t>
      </w:r>
    </w:p>
    <w:bookmarkEnd w:id="39"/>
    <w:bookmarkEnd w:id="40"/>
    <w:bookmarkStart w:id="42" w:name="killing-and-mistreatment"/>
    <w:p>
      <w:pPr>
        <w:pStyle w:val="Heading2"/>
      </w:pPr>
      <w:r>
        <w:t xml:space="preserve">4. Killing and mistreatment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War Crimes Act</w:t>
      </w:r>
      <w:r>
        <w:t xml:space="preserve">, 18 U.S.C. §2441: grave breaches of the Geneva Conventions and specified violations of Common</w:t>
      </w:r>
      <w:r>
        <w:t xml:space="preserve"> </w:t>
      </w:r>
      <w:r>
        <w:t xml:space="preserve">Article 3 (torture, cruel treatment, murder of persons taking no active part in hostilities) by or against U.S.</w:t>
      </w:r>
      <w:r>
        <w:t xml:space="preserve"> </w:t>
      </w:r>
      <w:r>
        <w:t xml:space="preserve">nationals or members of the armed forces. The victim must be a protected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; applies</w:t>
      </w:r>
      <w:r>
        <w:t xml:space="preserve"> </w:t>
      </w:r>
      <w:r>
        <w:t xml:space="preserve">“</w:t>
      </w:r>
      <w:r>
        <w:t xml:space="preserve">in the context of and</w:t>
      </w:r>
      <w:r>
        <w:t xml:space="preserve"> </w:t>
      </w:r>
      <w:r>
        <w:t xml:space="preserve">in association with an armed conflict.</w:t>
      </w:r>
      <w:r>
        <w:t xml:space="preserve">”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Torture statute</w:t>
      </w:r>
      <w:r>
        <w:t xml:space="preserve">, 18 U.S.C. §2340A: torture of</w:t>
      </w:r>
      <w:r>
        <w:t xml:space="preserve"> </w:t>
      </w:r>
      <w:r>
        <w:t xml:space="preserve">“</w:t>
      </w:r>
      <w:r>
        <w:t xml:space="preserve">another person within [the offender’s] custody or physical</w:t>
      </w:r>
      <w:r>
        <w:t xml:space="preserve"> </w:t>
      </w:r>
      <w:r>
        <w:t xml:space="preserve">control,</w:t>
      </w:r>
      <w:r>
        <w:t xml:space="preserve">”</w:t>
      </w:r>
      <w:r>
        <w:t xml:space="preserve"> </w:t>
      </w:r>
      <w:r>
        <w:t xml:space="preserve">outside the United States.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Homicide statutes</w:t>
      </w:r>
      <w:r>
        <w:t xml:space="preserve">: federal murder (18 U.S.C. §1111) and most state statutes define murder as the unlawful</w:t>
      </w:r>
      <w:r>
        <w:t xml:space="preserve"> </w:t>
      </w:r>
      <w:r>
        <w:t xml:space="preserve">killing of</w:t>
      </w:r>
      <w:r>
        <w:t xml:space="preserve"> </w:t>
      </w:r>
      <w:r>
        <w:t xml:space="preserve">“</w:t>
      </w:r>
      <w:r>
        <w:t xml:space="preserve">a human being.</w:t>
      </w:r>
      <w:r>
        <w:t xml:space="preserve">”</w:t>
      </w:r>
      <w:r>
        <w:t xml:space="preserve"> </w:t>
      </w:r>
      <w:r>
        <w:t xml:space="preserve">A court is unlikely to extend them to NHI without legislation.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Contractor personnel</w:t>
      </w:r>
      <w:r>
        <w:t xml:space="preserve">: the Military Extraterritorial Jurisdiction Act (18 U.S.C. §3261) extends federal</w:t>
      </w:r>
      <w:r>
        <w:t xml:space="preserve"> </w:t>
      </w:r>
      <w:r>
        <w:t xml:space="preserve">criminal jurisdiction to contractor employees accompanying the armed forces abroad for offenses punishable by</w:t>
      </w:r>
      <w:r>
        <w:t xml:space="preserve"> </w:t>
      </w:r>
      <w:r>
        <w:t xml:space="preserve">more than one year if committed within U.S. jurisdiction.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Limitations</w:t>
      </w:r>
      <w:r>
        <w:t xml:space="preserve">: a war crime under 18 U.S.C. §2441 is punishable</w:t>
      </w:r>
      <w:r>
        <w:t xml:space="preserve"> </w:t>
      </w:r>
      <w:r>
        <w:t xml:space="preserve">“</w:t>
      </w:r>
      <w:r>
        <w:t xml:space="preserve">by death</w:t>
      </w:r>
      <w:r>
        <w:t xml:space="preserve">”</w:t>
      </w:r>
      <w:r>
        <w:t xml:space="preserve"> </w:t>
      </w:r>
      <w:r>
        <w:t xml:space="preserve">“</w:t>
      </w:r>
      <w:r>
        <w:t xml:space="preserve">if death results to the victim</w:t>
      </w:r>
      <w:r>
        <w:t xml:space="preserve">”</w:t>
      </w:r>
      <w:r>
        <w:t xml:space="preserve"> </w:t>
      </w:r>
      <w:r>
        <w:t xml:space="preserve">(§2441(a)), so a killing prosecuted under §2441 is a capital offense with no limitation period (18 U.S.C.</w:t>
      </w:r>
      <w:r>
        <w:t xml:space="preserve"> </w:t>
      </w:r>
      <w:r>
        <w:t xml:space="preserve">§3281). Since January 5, 2023, there is also no limitation for any grave breach of the Geneva Conventions or</w:t>
      </w:r>
      <w:r>
        <w:t xml:space="preserve"> </w:t>
      </w:r>
      <w:r>
        <w:t xml:space="preserve">grave breach of common Article 3 (§2441(e), added by the Justice for Victims of War Crimes Act, Pub. L.</w:t>
      </w:r>
      <w:r>
        <w:t xml:space="preserve"> </w:t>
      </w:r>
      <w:r>
        <w:t xml:space="preserve">117-351), and jurisdiction extends to any offender</w:t>
      </w:r>
      <w:r>
        <w:t xml:space="preserve"> </w:t>
      </w:r>
      <w:r>
        <w:t xml:space="preserve">“</w:t>
      </w:r>
      <w:r>
        <w:t xml:space="preserve">present in the United States, regardless of the nationality</w:t>
      </w:r>
      <w:r>
        <w:t xml:space="preserve"> </w:t>
      </w:r>
      <w:r>
        <w:t xml:space="preserve">of the victim or offender</w:t>
      </w:r>
      <w:r>
        <w:t xml:space="preserve">”</w:t>
      </w:r>
      <w:r>
        <w:t xml:space="preserve"> </w:t>
      </w:r>
      <w:r>
        <w:t xml:space="preserve">(§2441(b)(2)(B)). Prosecution requires written certification by the Attorney</w:t>
      </w:r>
      <w:r>
        <w:t xml:space="preserve"> </w:t>
      </w:r>
      <w:r>
        <w:t xml:space="preserve">General, Deputy Attorney General, or an Assistant Attorney General that it</w:t>
      </w:r>
      <w:r>
        <w:t xml:space="preserve"> </w:t>
      </w:r>
      <w:r>
        <w:t xml:space="preserve">“</w:t>
      </w:r>
      <w:r>
        <w:t xml:space="preserve">is in the public interest and</w:t>
      </w:r>
      <w:r>
        <w:t xml:space="preserve"> </w:t>
      </w:r>
      <w:r>
        <w:t xml:space="preserve">necessary to secure substantial justice</w:t>
      </w:r>
      <w:r>
        <w:t xml:space="preserve">”</w:t>
      </w:r>
      <w:r>
        <w:t xml:space="preserve"> </w:t>
      </w:r>
      <w:r>
        <w:t xml:space="preserve">(§2441(f)(1)). The threshold question remains whether a non-human</w:t>
      </w:r>
      <w:r>
        <w:t xml:space="preserve"> </w:t>
      </w:r>
      <w:r>
        <w:t xml:space="preserve">victim is a protected person under the Conventions (§3).</w:t>
      </w:r>
    </w:p>
    <w:bookmarkStart w:id="41" w:name="X141827d7828761812ca89d09dbf025ec98e0717"/>
    <w:p>
      <w:pPr>
        <w:pStyle w:val="Heading3"/>
      </w:pPr>
      <w:r>
        <w:t xml:space="preserve">4.1 Military vocabulary for engagement and recovery</w:t>
      </w:r>
    </w:p>
    <w:p>
      <w:pPr>
        <w:pStyle w:val="FirstParagraph"/>
      </w:pPr>
      <w:r>
        <w:t xml:space="preserve">The Joint Staff’s 2023 reporting order defines a</w:t>
      </w:r>
      <w:r>
        <w:t xml:space="preserve"> </w:t>
      </w:r>
      <w:r>
        <w:t xml:space="preserve">“</w:t>
      </w:r>
      <w:r>
        <w:t xml:space="preserve">UAP engagement</w:t>
      </w:r>
      <w:r>
        <w:t xml:space="preserve">”</w:t>
      </w:r>
      <w:r>
        <w:t xml:space="preserve"> </w:t>
      </w:r>
      <w:r>
        <w:t xml:space="preserve">as</w:t>
      </w:r>
      <w:r>
        <w:t xml:space="preserve"> </w:t>
      </w:r>
      <w:r>
        <w:t xml:space="preserve">“</w:t>
      </w:r>
      <w:r>
        <w:t xml:space="preserve">a kinetic or non-kinetic response to a</w:t>
      </w:r>
      <w:r>
        <w:t xml:space="preserve"> </w:t>
      </w:r>
      <w:r>
        <w:t xml:space="preserve">UAP, intended to deny, disrupt, or destroy the phenomenon and/or its object(s),</w:t>
      </w:r>
      <w:r>
        <w:t xml:space="preserve">”</w:t>
      </w:r>
      <w:r>
        <w:t xml:space="preserve"> </w:t>
      </w:r>
      <w:r>
        <w:t xml:space="preserve">and a</w:t>
      </w:r>
      <w:r>
        <w:t xml:space="preserve"> </w:t>
      </w:r>
      <w:r>
        <w:t xml:space="preserve">“</w:t>
      </w:r>
      <w:r>
        <w:t xml:space="preserve">UAP-reaction</w:t>
      </w:r>
      <w:r>
        <w:t xml:space="preserve">”</w:t>
      </w:r>
      <w:r>
        <w:t xml:space="preserve"> </w:t>
      </w:r>
      <w:r>
        <w:t xml:space="preserve">as</w:t>
      </w:r>
      <w:r>
        <w:t xml:space="preserve"> </w:t>
      </w:r>
      <w:r>
        <w:t xml:space="preserve">“</w:t>
      </w:r>
      <w:r>
        <w:t xml:space="preserve">the</w:t>
      </w:r>
      <w:r>
        <w:t xml:space="preserve"> </w:t>
      </w:r>
      <w:r>
        <w:t xml:space="preserve">apparent UAP response to stimuli, including … engagement</w:t>
      </w:r>
      <w:r>
        <w:t xml:space="preserve">”</w:t>
      </w:r>
      <w:r>
        <w:t xml:space="preserve"> </w:t>
      </w:r>
      <w:r>
        <w:t xml:space="preserve">(¶¶3.B.4.C, 3.B.9). Engagement reports are due</w:t>
      </w:r>
      <w:r>
        <w:t xml:space="preserve"> </w:t>
      </w:r>
      <w:r>
        <w:t xml:space="preserve">within 12 hours (¶3.C.2), and recovered</w:t>
      </w:r>
      <w:r>
        <w:t xml:space="preserve"> </w:t>
      </w:r>
      <w:r>
        <w:t xml:space="preserve">“</w:t>
      </w:r>
      <w:r>
        <w:t xml:space="preserve">UAP objects and material</w:t>
      </w:r>
      <w:r>
        <w:t xml:space="preserve">”</w:t>
      </w:r>
      <w:r>
        <w:t xml:space="preserve"> </w:t>
      </w:r>
      <w:r>
        <w:t xml:space="preserve">are secured</w:t>
      </w:r>
      <w:r>
        <w:t xml:space="preserve"> </w:t>
      </w:r>
      <w:r>
        <w:t xml:space="preserve">“</w:t>
      </w:r>
      <w:r>
        <w:t xml:space="preserve">consistent with DoD Foreign</w:t>
      </w:r>
      <w:r>
        <w:t xml:space="preserve"> </w:t>
      </w:r>
      <w:r>
        <w:t xml:space="preserve">Material Exploitation policies and doctrine</w:t>
      </w:r>
      <w:r>
        <w:t xml:space="preserve">”</w:t>
      </w:r>
      <w:r>
        <w:t xml:space="preserve"> </w:t>
      </w:r>
      <w:r>
        <w:t xml:space="preserve">and transferred within 30 days with a chain-of-custody record</w:t>
      </w:r>
      <w:r>
        <w:t xml:space="preserve"> </w:t>
      </w:r>
      <w:r>
        <w:t xml:space="preserve">(¶3.F.1). Joint Staff J3 GENADMIN,</w:t>
      </w:r>
      <w:r>
        <w:t xml:space="preserve"> </w:t>
      </w:r>
      <w:r>
        <w:t xml:space="preserve">“</w:t>
      </w:r>
      <w:r>
        <w:t xml:space="preserve">Unidentified Anomalous Phenomena Reporting and Material Disposition,</w:t>
      </w:r>
      <w:r>
        <w:t xml:space="preserve">”</w:t>
      </w:r>
      <w:r>
        <w:t xml:space="preserve"> </w:t>
      </w:r>
      <w:r>
        <w:t xml:space="preserve">DTG 191452Z May 2023, released under FOIA as DoD 24-F-0067. The order treats engagement as an ordinary operational event and recovered objects as</w:t>
      </w:r>
      <w:r>
        <w:t xml:space="preserve"> </w:t>
      </w:r>
      <w:r>
        <w:t xml:space="preserve">materiel, and it contains no provision for occupants. Any investigation of an alleged downing should</w:t>
      </w:r>
      <w:r>
        <w:t xml:space="preserve"> </w:t>
      </w:r>
      <w:r>
        <w:t xml:space="preserve">request the engagement report, the material-transfer record, and the chain-of-custody entries by event</w:t>
      </w:r>
      <w:r>
        <w:t xml:space="preserve"> </w:t>
      </w:r>
      <w:r>
        <w:t xml:space="preserve">serial number.</w:t>
      </w:r>
    </w:p>
    <w:bookmarkEnd w:id="41"/>
    <w:bookmarkEnd w:id="42"/>
    <w:bookmarkStart w:id="43" w:name="remains-and-biological-evidence"/>
    <w:p>
      <w:pPr>
        <w:pStyle w:val="Heading2"/>
      </w:pPr>
      <w:r>
        <w:t xml:space="preserve">5. Remains and biological evidence</w:t>
      </w:r>
    </w:p>
    <w:p>
      <w:pPr>
        <w:pStyle w:val="FirstParagraph"/>
      </w:pPr>
      <w:r>
        <w:t xml:space="preserve">The House-passed Disclosure Act would treat</w:t>
      </w:r>
      <w:r>
        <w:t xml:space="preserve"> </w:t>
      </w:r>
      <w:r>
        <w:t xml:space="preserve">“</w:t>
      </w:r>
      <w:r>
        <w:t xml:space="preserve">biological evidence of non-human intelligence</w:t>
      </w:r>
      <w:r>
        <w:t xml:space="preserve">”</w:t>
      </w:r>
      <w:r>
        <w:t xml:space="preserve"> </w:t>
      </w:r>
      <w:r>
        <w:t xml:space="preserve">as subject to eminent</w:t>
      </w:r>
      <w:r>
        <w:t xml:space="preserve"> </w:t>
      </w:r>
      <w:r>
        <w:t xml:space="preserve">domain and Review Board examination (H.R. 8800 §1767) (Issues A3, E1). Respect for remains of intelligent beings</w:t>
      </w:r>
      <w:r>
        <w:t xml:space="preserve"> </w:t>
      </w:r>
      <w:r>
        <w:t xml:space="preserve">should be governed by rules analogous to those for human remains (dignified handling, documentation, consultation</w:t>
      </w:r>
      <w:r>
        <w:t xml:space="preserve"> </w:t>
      </w:r>
      <w:r>
        <w:t xml:space="preserve">with any recognized community) and by research ethics principles.</w:t>
      </w:r>
    </w:p>
    <w:bookmarkEnd w:id="43"/>
    <w:bookmarkStart w:id="44" w:name="civil-accountability"/>
    <w:p>
      <w:pPr>
        <w:pStyle w:val="Heading2"/>
      </w:pPr>
      <w:r>
        <w:t xml:space="preserve">6. Civil accountability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Alien Tort Statute</w:t>
      </w:r>
      <w:r>
        <w:t xml:space="preserve">, 28 U.S.C. §1350:</w:t>
      </w:r>
      <w:r>
        <w:t xml:space="preserve"> </w:t>
      </w:r>
      <w:r>
        <w:t xml:space="preserve">“</w:t>
      </w:r>
      <w:r>
        <w:t xml:space="preserve">The district courts shall have original jurisdiction of any civil</w:t>
      </w:r>
      <w:r>
        <w:t xml:space="preserve"> </w:t>
      </w:r>
      <w:r>
        <w:t xml:space="preserve">action by an alien for a tort only, committed in violation of the law of nations or a treaty of the United</w:t>
      </w:r>
      <w:r>
        <w:t xml:space="preserve"> </w:t>
      </w:r>
      <w:r>
        <w:t xml:space="preserve">States.</w:t>
      </w:r>
      <w:r>
        <w:t xml:space="preserve">”</w:t>
      </w:r>
      <w:r>
        <w:t xml:space="preserve"> </w:t>
      </w:r>
      <w:r>
        <w:t xml:space="preserve">An NHI is literally an alien (not a citizen). Limits:</w:t>
      </w:r>
      <w:r>
        <w:t xml:space="preserve"> </w:t>
      </w:r>
      <w:r>
        <w:rPr>
          <w:iCs/>
          <w:i/>
        </w:rPr>
        <w:t xml:space="preserve">Kiobel v. Royal Dutch Petroleum Co.</w:t>
      </w:r>
      <w:r>
        <w:t xml:space="preserve">, 569 U.S.</w:t>
      </w:r>
      <w:r>
        <w:t xml:space="preserve"> </w:t>
      </w:r>
      <w:r>
        <w:t xml:space="preserve">108 (2013) (extraterritoriality);</w:t>
      </w:r>
      <w:r>
        <w:t xml:space="preserve"> </w:t>
      </w:r>
      <w:r>
        <w:rPr>
          <w:iCs/>
          <w:i/>
        </w:rPr>
        <w:t xml:space="preserve">Jesner v. Arab Bank, PLC</w:t>
      </w:r>
      <w:r>
        <w:t xml:space="preserve">, 584 U.S. 241 (2018) (no foreign corporate</w:t>
      </w:r>
      <w:r>
        <w:t xml:space="preserve"> </w:t>
      </w:r>
      <w:r>
        <w:t xml:space="preserve">liability);</w:t>
      </w:r>
      <w:r>
        <w:t xml:space="preserve"> </w:t>
      </w:r>
      <w:r>
        <w:rPr>
          <w:iCs/>
          <w:i/>
        </w:rPr>
        <w:t xml:space="preserve">Nestlé USA, Inc. v. Doe</w:t>
      </w:r>
      <w:r>
        <w:t xml:space="preserve">, 593 U.S. 628 (2021) (domestic conduct required);</w:t>
      </w:r>
      <w:r>
        <w:t xml:space="preserve"> </w:t>
      </w:r>
      <w:r>
        <w:rPr>
          <w:iCs/>
          <w:i/>
        </w:rPr>
        <w:t xml:space="preserve">Cisco Systems, Inc. v. Doe</w:t>
      </w:r>
      <w:r>
        <w:rPr>
          <w:iCs/>
          <w:i/>
        </w:rPr>
        <w:t xml:space="preserve"> </w:t>
      </w:r>
      <w:r>
        <w:rPr>
          <w:iCs/>
          <w:i/>
        </w:rPr>
        <w:t xml:space="preserve">I</w:t>
      </w:r>
      <w:r>
        <w:t xml:space="preserve">, 609 U.S. 141, 146 S. Ct. 1882, 1892 (2026) (no new judicially created ATS causes of action beyond the three historical torts).</w:t>
      </w:r>
      <w:r>
        <w:t xml:space="preserve"> </w:t>
      </w:r>
      <w:r>
        <w:t xml:space="preserve">The Fourth Circuit’s 2026 recognition of corporate and conspiracy liability for torture and CIDT was vacated after</w:t>
      </w:r>
      <w:r>
        <w:t xml:space="preserve"> </w:t>
      </w:r>
      <w:r>
        <w:rPr>
          <w:iCs/>
          <w:i/>
        </w:rPr>
        <w:t xml:space="preserve">Cisco</w:t>
      </w:r>
      <w:r>
        <w:t xml:space="preserve"> </w:t>
      </w:r>
      <w:r>
        <w:t xml:space="preserve">(</w:t>
      </w:r>
      <w:r>
        <w:rPr>
          <w:iCs/>
          <w:i/>
        </w:rPr>
        <w:t xml:space="preserve">Al Shimari</w:t>
      </w:r>
      <w:r>
        <w:t xml:space="preserve">, 2026 WL 2547096). The ATS is not a realistic route for claims on behalf of NHI.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State tort law</w:t>
      </w:r>
      <w:r>
        <w:t xml:space="preserve"> </w:t>
      </w:r>
      <w:r>
        <w:t xml:space="preserve">against contractors after</w:t>
      </w:r>
      <w:r>
        <w:t xml:space="preserve"> </w:t>
      </w:r>
      <w:r>
        <w:rPr>
          <w:iCs/>
          <w:i/>
        </w:rPr>
        <w:t xml:space="preserve">Hencely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FTCA</w:t>
      </w:r>
      <w:r>
        <w:t xml:space="preserve"> </w:t>
      </w:r>
      <w:r>
        <w:t xml:space="preserve">against the United States for intentional torts is limited (§2680(h)); Bivens is effectively closed</w:t>
      </w:r>
      <w:r>
        <w:t xml:space="preserve"> </w:t>
      </w:r>
      <w:r>
        <w:t xml:space="preserve">(</w:t>
      </w:r>
      <w:r>
        <w:rPr>
          <w:iCs/>
          <w:i/>
        </w:rPr>
        <w:t xml:space="preserve">Egbert v. Boule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Standing and representation</w:t>
      </w:r>
      <w:r>
        <w:t xml:space="preserve">: next friend or a recognized representative; the injured NHI’s capacity to sue</w:t>
      </w:r>
      <w:r>
        <w:t xml:space="preserve"> </w:t>
      </w:r>
      <w:r>
        <w:t xml:space="preserve">is itself the threshold issue (</w:t>
      </w:r>
      <w:hyperlink r:id="rId21">
        <w:r>
          <w:rPr>
            <w:rStyle w:val="Hyperlink"/>
          </w:rPr>
          <w:t xml:space="preserve">Issue F1</w:t>
        </w:r>
      </w:hyperlink>
      <w:r>
        <w:t xml:space="preserve">).</w:t>
      </w:r>
    </w:p>
    <w:bookmarkEnd w:id="44"/>
    <w:bookmarkStart w:id="47" w:name="recommendations"/>
    <w:p>
      <w:pPr>
        <w:pStyle w:val="Heading2"/>
      </w:pPr>
      <w:r>
        <w:t xml:space="preserve">7. Recommendations</w:t>
      </w:r>
    </w:p>
    <w:p>
      <w:pPr>
        <w:pStyle w:val="Compact"/>
        <w:numPr>
          <w:ilvl w:val="0"/>
          <w:numId w:val="1009"/>
        </w:numPr>
      </w:pPr>
      <w:r>
        <w:t xml:space="preserve">Enact an interim protection statute (</w:t>
      </w:r>
      <w:hyperlink r:id="rId22">
        <w:r>
          <w:rPr>
            <w:rStyle w:val="Hyperlink"/>
          </w:rPr>
          <w:t xml:space="preserve">Form F2-1</w:t>
        </w:r>
      </w:hyperlink>
      <w:r>
        <w:t xml:space="preserve">): prohibit killing, torture, and cruel treatment of NHI by U.S.</w:t>
      </w:r>
      <w:r>
        <w:t xml:space="preserve"> </w:t>
      </w:r>
      <w:r>
        <w:t xml:space="preserve">personnel and contractors anywhere; require humane treatment and medical care; require reporting of any NHI</w:t>
      </w:r>
      <w:r>
        <w:t xml:space="preserve"> </w:t>
      </w:r>
      <w:r>
        <w:t xml:space="preserve">in custody to the intelligence and armed services committees and to an independent monitor within 72 hours;</w:t>
      </w:r>
      <w:r>
        <w:t xml:space="preserve"> </w:t>
      </w:r>
      <w:r>
        <w:t xml:space="preserve">create a federal offense for violations; exclude such conduct from any immunity.</w:t>
      </w:r>
    </w:p>
    <w:p>
      <w:pPr>
        <w:pStyle w:val="Compact"/>
        <w:numPr>
          <w:ilvl w:val="0"/>
          <w:numId w:val="1009"/>
        </w:numPr>
      </w:pPr>
      <w:r>
        <w:t xml:space="preserve">Amend 18 U.S.C. §§2340, 2441 and the federal homicide statutes to define protected persons to include</w:t>
      </w:r>
      <w:r>
        <w:t xml:space="preserve"> </w:t>
      </w:r>
      <w:r>
        <w:t xml:space="preserve">sentient intelligent beings.</w:t>
      </w:r>
    </w:p>
    <w:p>
      <w:pPr>
        <w:pStyle w:val="Compact"/>
        <w:numPr>
          <w:ilvl w:val="0"/>
          <w:numId w:val="1009"/>
        </w:numPr>
      </w:pPr>
      <w:r>
        <w:t xml:space="preserve">Direct the Secretary of War to issue rules of engagement prohibiting force against non-threatening craft.</w:t>
      </w:r>
    </w:p>
    <w:p>
      <w:pPr>
        <w:pStyle w:val="Compact"/>
        <w:numPr>
          <w:ilvl w:val="0"/>
          <w:numId w:val="1009"/>
        </w:numPr>
      </w:pPr>
      <w:r>
        <w:t xml:space="preserve">Direct DOJ and DoD IGs to investigate allegations and report to Congress.</w:t>
      </w:r>
    </w:p>
    <w:p>
      <w:pPr>
        <w:pStyle w:val="Compact"/>
        <w:numPr>
          <w:ilvl w:val="0"/>
          <w:numId w:val="1009"/>
        </w:numPr>
      </w:pPr>
      <w:r>
        <w:t xml:space="preserve">Authorize peaceful contact zones where force and seizure are barred except against imminent threats to persons,</w:t>
      </w:r>
      <w:r>
        <w:t xml:space="preserve"> </w:t>
      </w:r>
      <w:r>
        <w:t xml:space="preserve">and withdraw them from 10 U.S.C. §130i (</w:t>
      </w:r>
      <w:hyperlink r:id="rId45">
        <w:r>
          <w:rPr>
            <w:rStyle w:val="Hyperlink"/>
          </w:rPr>
          <w:t xml:space="preserve">Issue F7</w:t>
        </w:r>
      </w:hyperlink>
      <w:r>
        <w:t xml:space="preserve">;</w:t>
      </w:r>
      <w:r>
        <w:t xml:space="preserve"> </w:t>
      </w:r>
      <w:hyperlink r:id="rId46">
        <w:r>
          <w:rPr>
            <w:rStyle w:val="Hyperlink"/>
          </w:rPr>
          <w:t xml:space="preserve">Form F7-1</w:t>
        </w:r>
      </w:hyperlink>
      <w:r>
        <w:t xml:space="preserve">).</w:t>
      </w:r>
    </w:p>
    <w:bookmarkEnd w:id="47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Allegations That Craft Were Downed and Occupants Detained or Killed: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2" Type="http://schemas.openxmlformats.org/officeDocument/2006/relationships/hyperlink" Target="https://nhilaw.com/forms/b1-1.html" TargetMode="External"/><Relationship Id="rId35" Type="http://schemas.openxmlformats.org/officeDocument/2006/relationships/hyperlink" Target="https://nhilaw.com/forms/f1-1.html" TargetMode="External"/><Relationship Id="rId36" Type="http://schemas.openxmlformats.org/officeDocument/2006/relationships/hyperlink" Target="https://nhilaw.com/forms/f1-2.html" TargetMode="External"/><Relationship Id="rId22" Type="http://schemas.openxmlformats.org/officeDocument/2006/relationships/hyperlink" Target="https://nhilaw.com/forms/f2-1.html" TargetMode="External"/><Relationship Id="rId46" Type="http://schemas.openxmlformats.org/officeDocument/2006/relationships/hyperlink" Target="https://nhilaw.com/forms/f7-1.html" TargetMode="External"/><Relationship Id="rId24" Type="http://schemas.openxmlformats.org/officeDocument/2006/relationships/hyperlink" Target="https://nhilaw.com/issues/a1.html" TargetMode="External"/><Relationship Id="rId27" Type="http://schemas.openxmlformats.org/officeDocument/2006/relationships/hyperlink" Target="https://nhilaw.com/issues/a2.html" TargetMode="External"/><Relationship Id="rId30" Type="http://schemas.openxmlformats.org/officeDocument/2006/relationships/hyperlink" Target="https://nhilaw.com/issues/b1.html" TargetMode="External"/><Relationship Id="rId25" Type="http://schemas.openxmlformats.org/officeDocument/2006/relationships/hyperlink" Target="https://nhilaw.com/issues/b3.html" TargetMode="External"/><Relationship Id="rId21" Type="http://schemas.openxmlformats.org/officeDocument/2006/relationships/hyperlink" Target="https://nhilaw.com/issues/f1.html" TargetMode="External"/><Relationship Id="rId38" Type="http://schemas.openxmlformats.org/officeDocument/2006/relationships/hyperlink" Target="https://nhilaw.com/issues/f5.html" TargetMode="External"/><Relationship Id="rId45" Type="http://schemas.openxmlformats.org/officeDocument/2006/relationships/hyperlink" Target="https://nhilaw.com/issues/f7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2" Type="http://schemas.openxmlformats.org/officeDocument/2006/relationships/hyperlink" Target="https://nhilaw.com/forms/b1-1.html" TargetMode="External"/><Relationship Id="rId35" Type="http://schemas.openxmlformats.org/officeDocument/2006/relationships/hyperlink" Target="https://nhilaw.com/forms/f1-1.html" TargetMode="External"/><Relationship Id="rId36" Type="http://schemas.openxmlformats.org/officeDocument/2006/relationships/hyperlink" Target="https://nhilaw.com/forms/f1-2.html" TargetMode="External"/><Relationship Id="rId22" Type="http://schemas.openxmlformats.org/officeDocument/2006/relationships/hyperlink" Target="https://nhilaw.com/forms/f2-1.html" TargetMode="External"/><Relationship Id="rId46" Type="http://schemas.openxmlformats.org/officeDocument/2006/relationships/hyperlink" Target="https://nhilaw.com/forms/f7-1.html" TargetMode="External"/><Relationship Id="rId24" Type="http://schemas.openxmlformats.org/officeDocument/2006/relationships/hyperlink" Target="https://nhilaw.com/issues/a1.html" TargetMode="External"/><Relationship Id="rId27" Type="http://schemas.openxmlformats.org/officeDocument/2006/relationships/hyperlink" Target="https://nhilaw.com/issues/a2.html" TargetMode="External"/><Relationship Id="rId30" Type="http://schemas.openxmlformats.org/officeDocument/2006/relationships/hyperlink" Target="https://nhilaw.com/issues/b1.html" TargetMode="External"/><Relationship Id="rId25" Type="http://schemas.openxmlformats.org/officeDocument/2006/relationships/hyperlink" Target="https://nhilaw.com/issues/b3.html" TargetMode="External"/><Relationship Id="rId21" Type="http://schemas.openxmlformats.org/officeDocument/2006/relationships/hyperlink" Target="https://nhilaw.com/issues/f1.html" TargetMode="External"/><Relationship Id="rId38" Type="http://schemas.openxmlformats.org/officeDocument/2006/relationships/hyperlink" Target="https://nhilaw.com/issues/f5.html" TargetMode="External"/><Relationship Id="rId45" Type="http://schemas.openxmlformats.org/officeDocument/2006/relationships/hyperlink" Target="https://nhilaw.com/issues/f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Allegations That Craft Were Downed and Occupants Detained or Killed: Applicable Law and Accountability</dc:title>
  <dc:creator>nhilaw.com</dc:creator>
  <cp:keywords/>
  <dcterms:created xsi:type="dcterms:W3CDTF">2026-10-19T03:14:51Z</dcterms:created>
  <dcterms:modified xsi:type="dcterms:W3CDTF">2026-10-19T03:14:51Z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nhilaw.com/issues/f2.html</vt:lpwstr>
  </property>
</Properties>
</file>