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4" w:name="X8a2209bdc156b4f20b630e5aac3cc4a98946307"/>
    <w:p>
      <w:pPr>
        <w:pStyle w:val="Heading1"/>
      </w:pPr>
      <w:r>
        <w:t xml:space="preserve">Form F3-1. Complaint for Declaratory and Injunctive Relief: Pre-Enforcement First Amendment Challenge to a Restriction on Communicating with Non-Human Intelligence</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https://nhilaw.com/forms/f3-1.html</w:t>
      </w:r>
    </w:p>
    <w:p>
      <w:pPr>
        <w:pStyle w:val="BodyText"/>
        <w:spacing w:after="160" w:line="259" w:lineRule="auto"/>
      </w:pPr>
      <w:r>
        <w:rPr>
          <w:bCs/>
          <w:b/>
        </w:rPr>
        <w:t xml:space="preserve">Use.</w:t>
      </w:r>
      <w:r>
        <w:t xml:space="preserve"> </w:t>
      </w:r>
      <w:hyperlink r:id="rId20">
        <w:r>
          <w:rPr>
            <w:rStyle w:val="Hyperlink"/>
          </w:rPr>
          <w:t xml:space="preserve">Issue F3</w:t>
        </w:r>
      </w:hyperlink>
      <w:r>
        <w:t xml:space="preserve"> </w:t>
      </w:r>
      <w:r>
        <w:t xml:space="preserve">concludes that a broad ban on private communication with NHI, or a content-based</w:t>
      </w:r>
      <w:r>
        <w:t xml:space="preserve"> </w:t>
      </w:r>
      <w:r>
        <w:t xml:space="preserve">licensing scheme for messages, would be subject to strict scrutiny and would likely fail, while narrow</w:t>
      </w:r>
      <w:r>
        <w:t xml:space="preserve"> </w:t>
      </w:r>
      <w:r>
        <w:t xml:space="preserve">export-control rules on specified technical data and content-neutral rules on transmitter power and</w:t>
      </w:r>
      <w:r>
        <w:t xml:space="preserve"> </w:t>
      </w:r>
      <w:r>
        <w:t xml:space="preserve">frequency would likely survive. This complaint challenges the first kind of rule and concedes the</w:t>
      </w:r>
      <w:r>
        <w:t xml:space="preserve"> </w:t>
      </w:r>
      <w:r>
        <w:t xml:space="preserve">second. It is written for plaintiffs who have concrete plans to communicate (a research group planning</w:t>
      </w:r>
      <w:r>
        <w:t xml:space="preserve"> </w:t>
      </w:r>
      <w:r>
        <w:t xml:space="preserve">transmissions, an individual who reports ongoing contact, and an organization that publishes accounts</w:t>
      </w:r>
      <w:r>
        <w:t xml:space="preserve"> </w:t>
      </w:r>
      <w:r>
        <w:t xml:space="preserve">of contact), so that standing to sue before enforcement is clear.</w:t>
      </w:r>
    </w:p>
    <w:p>
      <w:pPr>
        <w:pStyle w:val="BodyText"/>
        <w:spacing w:after="160" w:line="259" w:lineRule="auto"/>
      </w:pPr>
      <w:r>
        <w:rPr>
          <w:bCs/>
          <w:b/>
        </w:rPr>
        <w:t xml:space="preserve">When to use.</w:t>
      </w:r>
      <w:r>
        <w:t xml:space="preserve"> </w:t>
      </w:r>
      <w:r>
        <w:t xml:space="preserve">A pre-enforcement challenge to a rule or order restricting communication with NHI.</w:t>
      </w:r>
      <w:r>
        <w:t xml:space="preserve"> </w:t>
      </w:r>
      <w:r>
        <w:rPr>
          <w:bCs/>
          <w:b/>
        </w:rPr>
        <w:t xml:space="preserve">Not for:</w:t>
      </w:r>
      <w:r>
        <w:t xml:space="preserve"> </w:t>
      </w:r>
      <w:r>
        <w:t xml:space="preserve">Restrictions limited to classified or export-controlled information.</w:t>
      </w:r>
    </w:p>
    <w:p>
      <w:pPr>
        <w:pStyle w:val="BodyText"/>
        <w:spacing w:after="160" w:line="259" w:lineRule="auto"/>
      </w:pPr>
      <w:r>
        <w:rPr>
          <w:bCs/>
          <w:b/>
        </w:rPr>
        <w:t xml:space="preserve">Deadlines.</w:t>
      </w:r>
      <w:r>
        <w:t xml:space="preserve"> </w:t>
      </w:r>
      <w:r>
        <w:t xml:space="preserve">APA claims within six years (28 U.S.C. §2401(a)); move for preliminary relief promptly, since delay undercuts irreparable harm.</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spacing w:lineRule="exact" w:line="240" w:before="0" w:after="0"/>
        <w:jc w:val="center"/>
      </w:pPr>
      <w:r>
        <w:rPr>
          <w:rFonts w:ascii="Times New Roman" w:hAnsi="Times New Roman" w:cs="Times New Roman" w:eastAsia="Times New Roman"/>
          <w:b/>
          <w:sz w:val="24"/>
        </w:rPr>
        <w:t>UNITED STATES DISTRICT COURT</w:t>
      </w:r>
    </w:p>
    <w:p>
      <w:pPr>
        <w:spacing w:lineRule="exact" w:line="240" w:before="0" w:after="0"/>
        <w:jc w:val="center"/>
      </w:pPr>
      <w:r>
        <w:rPr>
          <w:rFonts w:ascii="Times New Roman" w:hAnsi="Times New Roman" w:cs="Times New Roman" w:eastAsia="Times New Roman"/>
          <w:b/>
          <w:sz w:val="24"/>
        </w:rPr>
        <w:t>FOR THE [__________] DISTRICT OF [__________]</w:t>
      </w:r>
    </w:p>
    <w:p>
      <w:pPr>
        <w:spacing w:lineRule="exact" w:line="240" w:before="0" w:after="0"/>
      </w:pPr>
    </w:p>
    <w:tbl>
      <w:tblPr>
        <w:tblW w:type="auto" w:w="0"/>
        <w:jc w:val="left"/>
        <w:tblLayout w:type="fixed"/>
        <w:tblLook w:firstColumn="1" w:firstRow="1" w:lastColumn="0" w:lastRow="0" w:noHBand="0" w:noVBand="1" w:val="04A0"/>
      </w:tblPr>
      <w:tblGrid>
        <w:gridCol w:w="4680"/>
        <w:gridCol w:w="4680"/>
      </w:tblGrid>
      <w:tr>
        <w:tc>
          <w:tcPr>
            <w:tcW w:type="dxa" w:w="4824"/>
            <w:tcBorders>
              <w:right w:val="single" w:sz="4" w:color="000000"/>
              <w:bottom w:val="single" w:sz="4" w:color="000000"/>
            </w:tcBorders>
            <w:tcMar>
              <w:top w:w="0" w:type="dxa"/>
              <w:bottom w:w="0" w:type="dxa"/>
              <w:left w:w="0" w:type="dxa"/>
              <w:right w:w="100" w:type="dxa"/>
            </w:tcMar>
          </w:tcPr>
          <w:p>
            <w:pPr>
              <w:spacing w:lineRule="exact" w:line="240" w:before="0" w:after="0"/>
            </w:pPr>
            <w:r>
              <w:rPr>
                <w:rFonts w:ascii="Times New Roman" w:hAnsi="Times New Roman" w:cs="Times New Roman" w:eastAsia="Times New Roman"/>
                <w:b w:val="0"/>
                <w:sz w:val="24"/>
              </w:rPr>
              <w:t>[RESEARCH ORGANIZATION];</w:t>
            </w:r>
          </w:p>
          <w:p>
            <w:pPr>
              <w:spacing w:lineRule="exact" w:line="240" w:before="0" w:after="0"/>
            </w:pPr>
            <w:r>
              <w:rPr>
                <w:rFonts w:ascii="Times New Roman" w:hAnsi="Times New Roman" w:cs="Times New Roman" w:eastAsia="Times New Roman"/>
                <w:b w:val="0"/>
                <w:sz w:val="24"/>
              </w:rPr>
              <w:t>[INDIVIDUAL PLAINTIFF]; and</w:t>
            </w:r>
          </w:p>
          <w:p>
            <w:pPr>
              <w:spacing w:lineRule="exact" w:line="240" w:before="0" w:after="0"/>
            </w:pPr>
            <w:r>
              <w:rPr>
                <w:rFonts w:ascii="Times New Roman" w:hAnsi="Times New Roman" w:cs="Times New Roman" w:eastAsia="Times New Roman"/>
                <w:b w:val="0"/>
                <w:sz w:val="24"/>
              </w:rPr>
              <w:t>[PUBLISHER],</w:t>
            </w:r>
          </w:p>
          <w:p>
            <w:pPr>
              <w:spacing w:lineRule="exact" w:line="240" w:before="0" w:after="0"/>
              <w:ind w:left="2160"/>
            </w:pPr>
            <w:r>
              <w:rPr>
                <w:rFonts w:ascii="Times New Roman" w:hAnsi="Times New Roman" w:cs="Times New Roman" w:eastAsia="Times New Roman"/>
                <w:b w:val="0"/>
                <w:sz w:val="24"/>
              </w:rPr>
              <w:t>Plaintiffs,</w:t>
            </w:r>
          </w:p>
          <w:p>
            <w:pPr>
              <w:spacing w:lineRule="exact" w:line="240" w:before="0" w:after="0"/>
            </w:pPr>
          </w:p>
          <w:p>
            <w:pPr>
              <w:spacing w:lineRule="exact" w:line="240" w:before="0" w:after="0"/>
            </w:pPr>
            <w:r>
              <w:rPr>
                <w:rFonts w:ascii="Times New Roman" w:hAnsi="Times New Roman" w:cs="Times New Roman" w:eastAsia="Times New Roman"/>
                <w:b w:val="0"/>
                <w:sz w:val="24"/>
              </w:rPr>
              <w:t>v.</w:t>
            </w:r>
          </w:p>
          <w:p>
            <w:pPr>
              <w:spacing w:lineRule="exact" w:line="240" w:before="0" w:after="0"/>
            </w:pPr>
          </w:p>
          <w:p>
            <w:pPr>
              <w:spacing w:lineRule="exact" w:line="240" w:before="0" w:after="0"/>
            </w:pPr>
            <w:r>
              <w:rPr>
                <w:rFonts w:ascii="Times New Roman" w:hAnsi="Times New Roman" w:cs="Times New Roman" w:eastAsia="Times New Roman"/>
                <w:b w:val="0"/>
                <w:sz w:val="24"/>
              </w:rPr>
              <w:t>[AGENCY HEAD], in [his/her]</w:t>
            </w:r>
          </w:p>
          <w:p>
            <w:pPr>
              <w:spacing w:lineRule="exact" w:line="240" w:before="0" w:after="0"/>
            </w:pPr>
            <w:r>
              <w:rPr>
                <w:rFonts w:ascii="Times New Roman" w:hAnsi="Times New Roman" w:cs="Times New Roman" w:eastAsia="Times New Roman"/>
                <w:b w:val="0"/>
                <w:sz w:val="24"/>
              </w:rPr>
              <w:t>official capacity; [ATTORNEY</w:t>
            </w:r>
          </w:p>
          <w:p>
            <w:pPr>
              <w:spacing w:lineRule="exact" w:line="240" w:before="0" w:after="0"/>
            </w:pPr>
            <w:r>
              <w:rPr>
                <w:rFonts w:ascii="Times New Roman" w:hAnsi="Times New Roman" w:cs="Times New Roman" w:eastAsia="Times New Roman"/>
                <w:b w:val="0"/>
                <w:sz w:val="24"/>
              </w:rPr>
              <w:t>GENERAL], in [his/her] official</w:t>
            </w:r>
          </w:p>
          <w:p>
            <w:pPr>
              <w:spacing w:lineRule="exact" w:line="240" w:before="0" w:after="0"/>
            </w:pPr>
            <w:r>
              <w:rPr>
                <w:rFonts w:ascii="Times New Roman" w:hAnsi="Times New Roman" w:cs="Times New Roman" w:eastAsia="Times New Roman"/>
                <w:b w:val="0"/>
                <w:sz w:val="24"/>
              </w:rPr>
              <w:t>capacity,</w:t>
            </w:r>
          </w:p>
          <w:p>
            <w:pPr>
              <w:spacing w:lineRule="exact" w:line="240" w:before="0" w:after="0"/>
              <w:ind w:left="2160"/>
            </w:pPr>
            <w:r>
              <w:rPr>
                <w:rFonts w:ascii="Times New Roman" w:hAnsi="Times New Roman" w:cs="Times New Roman" w:eastAsia="Times New Roman"/>
                <w:b w:val="0"/>
                <w:sz w:val="24"/>
              </w:rPr>
              <w:t>Defendants.</w:t>
            </w:r>
          </w:p>
          <w:p>
            <w:pPr>
              <w:spacing w:lineRule="exact" w:line="240" w:before="0" w:after="0"/>
            </w:pPr>
          </w:p>
        </w:tc>
        <w:tc>
          <w:tcPr>
            <w:tcW w:type="dxa" w:w="4392"/>
            <w:tcMar>
              <w:top w:w="0" w:type="dxa"/>
              <w:bottom w:w="0" w:type="dxa"/>
              <w:left w:w="160" w:type="dxa"/>
              <w:right w:w="100" w:type="dxa"/>
            </w:tcMar>
          </w:tcPr>
          <w:p>
            <w:pPr>
              <w:spacing w:lineRule="exact" w:line="240" w:before="0" w:after="0"/>
            </w:pPr>
            <w:r>
              <w:rPr>
                <w:rFonts w:ascii="Times New Roman" w:hAnsi="Times New Roman" w:cs="Times New Roman" w:eastAsia="Times New Roman"/>
                <w:b w:val="0"/>
                <w:sz w:val="24"/>
              </w:rPr>
              <w:t>Civil Action No.</w:t>
            </w:r>
          </w:p>
          <w:p>
            <w:pPr>
              <w:spacing w:lineRule="exact" w:line="240" w:before="0" w:after="0"/>
            </w:pPr>
            <w:r>
              <w:rPr>
                <w:rFonts w:ascii="Times New Roman" w:hAnsi="Times New Roman" w:cs="Times New Roman" w:eastAsia="Times New Roman"/>
                <w:b w:val="0"/>
                <w:sz w:val="24"/>
              </w:rPr>
              <w:t>[__________]</w:t>
            </w:r>
          </w:p>
          <w:p>
            <w:pPr>
              <w:spacing w:lineRule="exact" w:line="240" w:before="0" w:after="0"/>
            </w:pPr>
          </w:p>
          <w:p>
            <w:pPr>
              <w:spacing w:lineRule="exact" w:line="240" w:before="0" w:after="0"/>
            </w:pPr>
            <w:r>
              <w:rPr>
                <w:rFonts w:ascii="Times New Roman" w:hAnsi="Times New Roman" w:cs="Times New Roman" w:eastAsia="Times New Roman"/>
                <w:b/>
                <w:sz w:val="24"/>
              </w:rPr>
              <w:t>COMPLAINT FOR</w:t>
            </w:r>
          </w:p>
          <w:p>
            <w:pPr>
              <w:spacing w:lineRule="exact" w:line="240" w:before="0" w:after="0"/>
            </w:pPr>
            <w:r>
              <w:rPr>
                <w:rFonts w:ascii="Times New Roman" w:hAnsi="Times New Roman" w:cs="Times New Roman" w:eastAsia="Times New Roman"/>
                <w:b/>
                <w:sz w:val="24"/>
              </w:rPr>
              <w:t>DECLARATORY AND</w:t>
            </w:r>
          </w:p>
          <w:p>
            <w:pPr>
              <w:spacing w:lineRule="exact" w:line="240" w:before="0" w:after="0"/>
            </w:pPr>
            <w:r>
              <w:rPr>
                <w:rFonts w:ascii="Times New Roman" w:hAnsi="Times New Roman" w:cs="Times New Roman" w:eastAsia="Times New Roman"/>
                <w:b/>
                <w:sz w:val="24"/>
              </w:rPr>
              <w:t>INJUNCTIVE RELIEF</w:t>
            </w: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tc>
      </w:tr>
    </w:tbl>
    <w:p>
      <w:pPr>
        <w:spacing w:lineRule="exact" w:line="240" w:before="0" w:after="0"/>
      </w:pPr>
    </w:p>
    <w:p>
      <w:pPr>
        <w:spacing w:lineRule="exact" w:line="240" w:before="0" w:after="0"/>
      </w:pPr>
    </w:p>
    <w:p>
      <w:pPr>
        <w:pStyle w:val="BodyText"/>
        <w:keepNext/>
        <w:spacing w:lineRule="exact" w:line="480" w:before="0" w:after="0"/>
        <w:jc w:val="center"/>
      </w:pPr>
      <w:r>
        <w:rPr>
          <w:bCs/>
          <w:b/>
        </w:rPr>
        <w:t xml:space="preserve">INTRODUCTION</w:t>
      </w:r>
    </w:p>
    <w:p>
      <w:pPr>
        <w:numPr>
          <w:ilvl w:val="0"/>
          <w:numId w:val="1001"/>
        </w:numPr>
        <w:spacing w:lineRule="exact" w:line="480" w:before="0" w:after="0"/>
      </w:pPr>
      <w:r>
        <w:t xml:space="preserve">On [date], [Defendant agency] [issued / Congress enacted] [cite the measure] (the</w:t>
      </w:r>
      <w:r>
        <w:t xml:space="preserve"> </w:t>
      </w:r>
      <w:r>
        <w:t xml:space="preserve">“</w:t>
      </w:r>
      <w:r>
        <w:t xml:space="preserve">Restriction</w:t>
      </w:r>
      <w:r>
        <w:t xml:space="preserve">”</w:t>
      </w:r>
      <w:r>
        <w:t xml:space="preserve">),</w:t>
      </w:r>
      <w:r>
        <w:t xml:space="preserve"> </w:t>
      </w:r>
      <w:r>
        <w:t xml:space="preserve">which makes it unlawful for any person, without a license from [agency], to</w:t>
      </w:r>
      <w:r>
        <w:t xml:space="preserve"> </w:t>
      </w:r>
      <w:r>
        <w:t xml:space="preserve">“</w:t>
      </w:r>
      <w:r>
        <w:t xml:space="preserve">[quote operative</w:t>
      </w:r>
      <w:r>
        <w:t xml:space="preserve"> </w:t>
      </w:r>
      <w:r>
        <w:t xml:space="preserve">language, e.g.,</w:t>
      </w:r>
      <w:r>
        <w:t xml:space="preserve"> </w:t>
      </w:r>
      <w:r>
        <w:t xml:space="preserve">‘</w:t>
      </w:r>
      <w:r>
        <w:t xml:space="preserve">transmit any communication to, or knowingly receive and disseminate any</w:t>
      </w:r>
      <w:r>
        <w:t xml:space="preserve"> </w:t>
      </w:r>
      <w:r>
        <w:t xml:space="preserve">communication from, any non-human intelligence</w:t>
      </w:r>
      <w:r>
        <w:t xml:space="preserve">’</w:t>
      </w:r>
      <w:r>
        <w:t xml:space="preserve">].</w:t>
      </w:r>
      <w:r>
        <w:t xml:space="preserve">”</w:t>
      </w:r>
      <w:r>
        <w:t xml:space="preserve"> </w:t>
      </w:r>
      <w:r>
        <w:t xml:space="preserve">Violations are punishable by [penalties].</w:t>
      </w:r>
    </w:p>
    <w:p>
      <w:pPr>
        <w:numPr>
          <w:ilvl w:val="0"/>
          <w:numId w:val="1001"/>
        </w:numPr>
        <w:spacing w:lineRule="exact" w:line="480" w:before="0" w:after="0"/>
      </w:pPr>
      <w:r>
        <w:t xml:space="preserve">Plaintiffs do not challenge the government’s authority to control the export of specified</w:t>
      </w:r>
      <w:r>
        <w:t xml:space="preserve"> </w:t>
      </w:r>
      <w:r>
        <w:t xml:space="preserve">weapons-related technical data, to license radio transmitters under content-neutral rules, or to</w:t>
      </w:r>
      <w:r>
        <w:t xml:space="preserve"> </w:t>
      </w:r>
      <w:r>
        <w:t xml:space="preserve">conduct official relations with any non-human polity. Plaintiffs challenge the Restriction because it</w:t>
      </w:r>
      <w:r>
        <w:t xml:space="preserve"> </w:t>
      </w:r>
      <w:r>
        <w:t xml:space="preserve">bars speaking to, and listening to and repeating, a class of speakers on the basis of who they are and</w:t>
      </w:r>
      <w:r>
        <w:t xml:space="preserve"> </w:t>
      </w:r>
      <w:r>
        <w:t xml:space="preserve">what they might say, and because it requires a license before anyone may speak.</w:t>
      </w:r>
    </w:p>
    <w:p>
      <w:pPr>
        <w:pStyle w:val="FirstParagraph"/>
        <w:keepNext/>
        <w:spacing w:lineRule="exact" w:line="480" w:before="0" w:after="0"/>
        <w:jc w:val="center"/>
      </w:pPr>
      <w:r>
        <w:rPr>
          <w:bCs/>
          <w:b/>
        </w:rPr>
        <w:t xml:space="preserve">JURISDICTION AND VENUE</w:t>
      </w:r>
    </w:p>
    <w:p>
      <w:pPr>
        <w:numPr>
          <w:ilvl w:val="0"/>
          <w:numId w:val="1002"/>
        </w:numPr>
        <w:spacing w:lineRule="exact" w:line="480" w:before="0" w:after="0"/>
      </w:pPr>
      <w:r>
        <w:t xml:space="preserve">The Court has jurisdiction under 28 U.S.C. §1331. The Court may grant declaratory relief under 28</w:t>
      </w:r>
      <w:r>
        <w:t xml:space="preserve"> </w:t>
      </w:r>
      <w:r>
        <w:t xml:space="preserve">U.S.C. §§2201-2202 and injunctive relief under its equitable powers and 5 U.S.C. §§702, 706.</w:t>
      </w:r>
    </w:p>
    <w:p>
      <w:pPr>
        <w:numPr>
          <w:ilvl w:val="0"/>
          <w:numId w:val="1002"/>
        </w:numPr>
        <w:spacing w:lineRule="exact" w:line="480" w:before="0" w:after="0"/>
      </w:pPr>
      <w:r>
        <w:t xml:space="preserve">Venue is proper under 28 U.S.C. §1391(e) because [Plaintiff ____ resides here / Defendants reside</w:t>
      </w:r>
      <w:r>
        <w:t xml:space="preserve"> </w:t>
      </w:r>
      <w:r>
        <w:t xml:space="preserve">here / a substantial part of the events occurred here].</w:t>
      </w:r>
    </w:p>
    <w:p>
      <w:pPr>
        <w:pStyle w:val="FirstParagraph"/>
        <w:keepNext/>
        <w:spacing w:lineRule="exact" w:line="480" w:before="0" w:after="0"/>
        <w:jc w:val="center"/>
      </w:pPr>
      <w:r>
        <w:rPr>
          <w:bCs/>
          <w:b/>
        </w:rPr>
        <w:t xml:space="preserve">PARTIES</w:t>
      </w:r>
    </w:p>
    <w:p>
      <w:pPr>
        <w:numPr>
          <w:ilvl w:val="0"/>
          <w:numId w:val="1003"/>
        </w:numPr>
        <w:spacing w:lineRule="exact" w:line="480" w:before="0" w:after="0"/>
      </w:pPr>
      <w:r>
        <w:rPr>
          <w:bCs/>
          <w:b/>
        </w:rPr>
        <w:t xml:space="preserve">[Research Organization]</w:t>
      </w:r>
      <w:r>
        <w:t xml:space="preserve"> </w:t>
      </w:r>
      <w:r>
        <w:t xml:space="preserve">is a [nonprofit] that [describe scientific mission]. It has designed,</w:t>
      </w:r>
      <w:r>
        <w:t xml:space="preserve"> </w:t>
      </w:r>
      <w:r>
        <w:t xml:space="preserve">and had scheduled for [date], a transmission program from [facility] under [FCC experimental license</w:t>
      </w:r>
      <w:r>
        <w:t xml:space="preserve"> </w:t>
      </w:r>
      <w:r>
        <w:t xml:space="preserve">no. __ / application no. __]. The program’s content is [describe: mathematical and scientific</w:t>
      </w:r>
      <w:r>
        <w:t xml:space="preserve"> </w:t>
      </w:r>
      <w:r>
        <w:t xml:space="preserve">messages; no controlled technical data]. The Restriction forbids the program without a license that</w:t>
      </w:r>
      <w:r>
        <w:t xml:space="preserve"> </w:t>
      </w:r>
      <w:r>
        <w:t xml:space="preserve">[agency] may deny on the basis of message content.</w:t>
      </w:r>
    </w:p>
    <w:p>
      <w:pPr>
        <w:numPr>
          <w:ilvl w:val="0"/>
          <w:numId w:val="1003"/>
        </w:numPr>
        <w:spacing w:lineRule="exact" w:line="480" w:before="0" w:after="0"/>
      </w:pPr>
      <w:r>
        <w:rPr>
          <w:bCs/>
          <w:b/>
        </w:rPr>
        <w:t xml:space="preserve">[Individual Plaintiff]</w:t>
      </w:r>
      <w:r>
        <w:t xml:space="preserve"> </w:t>
      </w:r>
      <w:r>
        <w:t xml:space="preserve">is a [describe] who reports [describe ongoing communication in plain</w:t>
      </w:r>
      <w:r>
        <w:t xml:space="preserve"> </w:t>
      </w:r>
      <w:r>
        <w:t xml:space="preserve">terms]. [He/She/They] intend to continue those communications and to publish accounts of them.</w:t>
      </w:r>
    </w:p>
    <w:p>
      <w:pPr>
        <w:numPr>
          <w:ilvl w:val="0"/>
          <w:numId w:val="1003"/>
        </w:numPr>
        <w:spacing w:lineRule="exact" w:line="480" w:before="0" w:after="0"/>
      </w:pPr>
      <w:r>
        <w:rPr>
          <w:bCs/>
          <w:b/>
        </w:rPr>
        <w:t xml:space="preserve">[Publisher]</w:t>
      </w:r>
      <w:r>
        <w:t xml:space="preserve"> </w:t>
      </w:r>
      <w:r>
        <w:t xml:space="preserve">publishes [books / a periodical / a website] that includes first-hand accounts of</w:t>
      </w:r>
      <w:r>
        <w:t xml:space="preserve"> </w:t>
      </w:r>
      <w:r>
        <w:t xml:space="preserve">communication with non-human intelligence, including the accounts of [Individual Plaintiff], and</w:t>
      </w:r>
      <w:r>
        <w:t xml:space="preserve"> </w:t>
      </w:r>
      <w:r>
        <w:t xml:space="preserve">intends to continue doing so.</w:t>
      </w:r>
    </w:p>
    <w:p>
      <w:pPr>
        <w:numPr>
          <w:ilvl w:val="0"/>
          <w:numId w:val="1003"/>
        </w:numPr>
        <w:spacing w:lineRule="exact" w:line="480" w:before="0" w:after="0"/>
      </w:pPr>
      <w:r>
        <w:t xml:space="preserve">Defendants are responsible for administering and enforcing the Restriction.</w:t>
      </w:r>
    </w:p>
    <w:p>
      <w:pPr>
        <w:pStyle w:val="FirstParagraph"/>
        <w:keepNext/>
        <w:spacing w:lineRule="exact" w:line="480" w:before="0" w:after="0"/>
        <w:jc w:val="center"/>
      </w:pPr>
      <w:r>
        <w:rPr>
          <w:bCs/>
          <w:b/>
        </w:rPr>
        <w:t xml:space="preserve">FACTS</w:t>
      </w:r>
    </w:p>
    <w:p>
      <w:pPr>
        <w:numPr>
          <w:ilvl w:val="0"/>
          <w:numId w:val="1004"/>
        </w:numPr>
        <w:spacing w:lineRule="exact" w:line="480" w:before="0" w:after="0"/>
      </w:pPr>
      <w:r>
        <w:t xml:space="preserve">[Describe the Restriction: text, definitions, licensing criteria, penalties, and any public</w:t>
      </w:r>
      <w:r>
        <w:t xml:space="preserve"> </w:t>
      </w:r>
      <w:r>
        <w:t xml:space="preserve">statements by officials about its purpose and enforcement.]</w:t>
      </w:r>
    </w:p>
    <w:p>
      <w:pPr>
        <w:numPr>
          <w:ilvl w:val="0"/>
          <w:numId w:val="1004"/>
        </w:numPr>
        <w:spacing w:lineRule="exact" w:line="480" w:before="0" w:after="0"/>
      </w:pPr>
      <w:r>
        <w:t xml:space="preserve">[Describe each Plaintiff’s concrete plans, preparations, and expenditures; any license</w:t>
      </w:r>
      <w:r>
        <w:t xml:space="preserve"> </w:t>
      </w:r>
      <w:r>
        <w:t xml:space="preserve">application and its status; and any warning or inquiry received from Defendants.]</w:t>
      </w:r>
    </w:p>
    <w:p>
      <w:pPr>
        <w:numPr>
          <w:ilvl w:val="0"/>
          <w:numId w:val="1004"/>
        </w:numPr>
        <w:spacing w:lineRule="exact" w:line="480" w:before="0" w:after="0"/>
      </w:pPr>
      <w:r>
        <w:t xml:space="preserve">The Restriction is not limited to technical data controlled under the International Traffic in</w:t>
      </w:r>
      <w:r>
        <w:t xml:space="preserve"> </w:t>
      </w:r>
      <w:r>
        <w:t xml:space="preserve">Arms Regulations or the Export Administration Regulations, to coordinated services provided to any</w:t>
      </w:r>
      <w:r>
        <w:t xml:space="preserve"> </w:t>
      </w:r>
      <w:r>
        <w:t xml:space="preserve">designated entity, or to transmitter characteristics. It applies to any communication, whatever its</w:t>
      </w:r>
      <w:r>
        <w:t xml:space="preserve"> </w:t>
      </w:r>
      <w:r>
        <w:t xml:space="preserve">content.</w:t>
      </w:r>
    </w:p>
    <w:p>
      <w:pPr>
        <w:pStyle w:val="FirstParagraph"/>
        <w:keepNext/>
        <w:spacing w:lineRule="exact" w:line="480" w:before="0" w:after="0"/>
        <w:jc w:val="center"/>
      </w:pPr>
      <w:r>
        <w:rPr>
          <w:bCs/>
          <w:b/>
        </w:rPr>
        <w:t xml:space="preserve">STANDING AND RIPENESS</w:t>
      </w:r>
    </w:p>
    <w:p>
      <w:pPr>
        <w:pStyle w:val="Compact"/>
        <w:numPr>
          <w:ilvl w:val="0"/>
          <w:numId w:val="1005"/>
        </w:numPr>
        <w:spacing w:lineRule="exact" w:line="480" w:before="0" w:after="0"/>
      </w:pPr>
      <w:r>
        <w:t xml:space="preserve">A plaintiff may challenge a law before it is enforced against him where he alleges</w:t>
      </w:r>
      <w:r>
        <w:t xml:space="preserve"> </w:t>
      </w:r>
      <w:r>
        <w:t xml:space="preserve">“</w:t>
      </w:r>
      <w:r>
        <w:t xml:space="preserve">an intention</w:t>
      </w:r>
      <w:r>
        <w:t xml:space="preserve"> </w:t>
      </w:r>
      <w:r>
        <w:t xml:space="preserve">to engage in a course of conduct arguably affected with a constitutional interest, but proscribed by</w:t>
      </w:r>
      <w:r>
        <w:t xml:space="preserve"> </w:t>
      </w:r>
      <w:r>
        <w:t xml:space="preserve">a statute, and there exists a credible threat of prosecution thereunder.</w:t>
      </w:r>
      <w:r>
        <w:t xml:space="preserve">”</w:t>
      </w:r>
      <w:r>
        <w:t xml:space="preserve"> </w:t>
      </w:r>
      <w:r>
        <w:rPr>
          <w:iCs/>
          <w:i/>
        </w:rPr>
        <w:t xml:space="preserve">Susan B. Anthony List v.</w:t>
      </w:r>
      <w:r>
        <w:rPr>
          <w:iCs/>
          <w:i/>
        </w:rPr>
        <w:t xml:space="preserve"> </w:t>
      </w:r>
      <w:r>
        <w:rPr>
          <w:iCs/>
          <w:i/>
        </w:rPr>
        <w:t xml:space="preserve">Driehaus</w:t>
      </w:r>
      <w:r>
        <w:t xml:space="preserve">, 573 U.S. 149, 159 (2014) (quoting</w:t>
      </w:r>
      <w:r>
        <w:t xml:space="preserve"> </w:t>
      </w:r>
      <w:r>
        <w:rPr>
          <w:iCs/>
          <w:i/>
        </w:rPr>
        <w:t xml:space="preserve">Babbitt v. United Farm Workers National Union</w:t>
      </w:r>
      <w:r>
        <w:t xml:space="preserve">, 442 U.S.</w:t>
      </w:r>
      <w:r>
        <w:t xml:space="preserve"> </w:t>
      </w:r>
      <w:r>
        <w:t xml:space="preserve">289, 298 (1979)). Each Plaintiff intends to engage in conduct the Restriction forbids, and Defendants</w:t>
      </w:r>
      <w:r>
        <w:t xml:space="preserve"> </w:t>
      </w:r>
      <w:r>
        <w:t xml:space="preserve">have not disavowed enforcement. [Allege any statement of intent to enforce.]</w:t>
      </w:r>
    </w:p>
    <w:p>
      <w:pPr>
        <w:pStyle w:val="FirstParagraph"/>
        <w:keepNext/>
        <w:spacing w:lineRule="exact" w:line="480" w:before="0" w:after="0"/>
        <w:jc w:val="center"/>
      </w:pPr>
      <w:r>
        <w:rPr>
          <w:bCs/>
          <w:b/>
        </w:rPr>
        <w:t xml:space="preserve">CLAIMS FOR RELIEF</w:t>
      </w:r>
    </w:p>
    <w:p>
      <w:pPr>
        <w:pStyle w:val="BodyText"/>
        <w:spacing w:lineRule="exact" w:line="480" w:before="0" w:after="0"/>
        <w:ind w:firstLine="720"/>
      </w:pPr>
      <w:r>
        <w:rPr>
          <w:bCs/>
          <w:b/>
        </w:rPr>
        <w:t xml:space="preserve">Count I: First Amendment (content-based and speaker-based restriction on speech)</w:t>
      </w:r>
    </w:p>
    <w:p>
      <w:pPr>
        <w:numPr>
          <w:ilvl w:val="0"/>
          <w:numId w:val="1006"/>
        </w:numPr>
        <w:spacing w:lineRule="exact" w:line="480" w:before="0" w:after="0"/>
      </w:pPr>
      <w:r>
        <w:t xml:space="preserve">Plaintiffs incorporate the preceding paragraphs.</w:t>
      </w:r>
    </w:p>
    <w:p>
      <w:pPr>
        <w:numPr>
          <w:ilvl w:val="0"/>
          <w:numId w:val="1006"/>
        </w:numPr>
        <w:spacing w:lineRule="exact" w:line="480" w:before="0" w:after="0"/>
      </w:pPr>
      <w:r>
        <w:t xml:space="preserve">The Restriction applies because of the identity of the listener or speaker and the topic of the</w:t>
      </w:r>
      <w:r>
        <w:t xml:space="preserve"> </w:t>
      </w:r>
      <w:r>
        <w:t xml:space="preserve">communication. A law that is content based on its face is subject to strict scrutiny regardless of the</w:t>
      </w:r>
      <w:r>
        <w:t xml:space="preserve"> </w:t>
      </w:r>
      <w:r>
        <w:t xml:space="preserve">government’s motive.</w:t>
      </w:r>
      <w:r>
        <w:t xml:space="preserve"> </w:t>
      </w:r>
      <w:r>
        <w:rPr>
          <w:iCs/>
          <w:i/>
        </w:rPr>
        <w:t xml:space="preserve">Reed v. Town of Gilbert</w:t>
      </w:r>
      <w:r>
        <w:t xml:space="preserve">, 576 U.S. 155, 163-65 (2015).</w:t>
      </w:r>
    </w:p>
    <w:p>
      <w:pPr>
        <w:numPr>
          <w:ilvl w:val="0"/>
          <w:numId w:val="1006"/>
        </w:numPr>
        <w:spacing w:lineRule="exact" w:line="480" w:before="0" w:after="0"/>
      </w:pPr>
      <w:r>
        <w:t xml:space="preserve">The Restriction is not narrowly tailored to any compelling interest. The government’s interest in</w:t>
      </w:r>
      <w:r>
        <w:t xml:space="preserve"> </w:t>
      </w:r>
      <w:r>
        <w:t xml:space="preserve">keeping weapons-relevant technical data from hostile actors is served by existing export controls on</w:t>
      </w:r>
      <w:r>
        <w:t xml:space="preserve"> </w:t>
      </w:r>
      <w:r>
        <w:t xml:space="preserve">specified data, which Plaintiffs do not challenge. The Restriction reaches mathematics, greetings,</w:t>
      </w:r>
      <w:r>
        <w:t xml:space="preserve"> </w:t>
      </w:r>
      <w:r>
        <w:t xml:space="preserve">descriptions of human culture, and personal accounts, none of which threatens that interest.</w:t>
      </w:r>
    </w:p>
    <w:p>
      <w:pPr>
        <w:pStyle w:val="FirstParagraph"/>
        <w:spacing w:lineRule="exact" w:line="480" w:before="0" w:after="0"/>
      </w:pPr>
      <w:r>
        <w:rPr>
          <w:bCs/>
          <w:b/>
        </w:rPr>
        <w:t xml:space="preserve">Count II: First Amendment (right to receive information)</w:t>
      </w:r>
    </w:p>
    <w:p>
      <w:pPr>
        <w:pStyle w:val="Compact"/>
        <w:numPr>
          <w:ilvl w:val="0"/>
          <w:numId w:val="1007"/>
        </w:numPr>
        <w:spacing w:lineRule="exact" w:line="480" w:before="0" w:after="0"/>
      </w:pPr>
      <w:r>
        <w:t xml:space="preserve">The First Amendment protects the right to receive information and ideas, including from foreign</w:t>
      </w:r>
      <w:r>
        <w:t xml:space="preserve"> </w:t>
      </w:r>
      <w:r>
        <w:t xml:space="preserve">sources.</w:t>
      </w:r>
      <w:r>
        <w:t xml:space="preserve"> </w:t>
      </w:r>
      <w:r>
        <w:rPr>
          <w:iCs/>
          <w:i/>
        </w:rPr>
        <w:t xml:space="preserve">Lamont v. Postmaster General</w:t>
      </w:r>
      <w:r>
        <w:t xml:space="preserve">, 381 U.S. 301, 305-07 (1965);</w:t>
      </w:r>
      <w:r>
        <w:t xml:space="preserve"> </w:t>
      </w:r>
      <w:r>
        <w:rPr>
          <w:iCs/>
          <w:i/>
        </w:rPr>
        <w:t xml:space="preserve">Kleindienst v. Mandel</w:t>
      </w:r>
      <w:r>
        <w:t xml:space="preserve">, 408 U.S.</w:t>
      </w:r>
      <w:r>
        <w:t xml:space="preserve"> </w:t>
      </w:r>
      <w:r>
        <w:t xml:space="preserve">753, 762-65 (1972). The Restriction bars Plaintiffs from receiving and repeating communications from a</w:t>
      </w:r>
      <w:r>
        <w:t xml:space="preserve"> </w:t>
      </w:r>
      <w:r>
        <w:t xml:space="preserve">willing speaker.</w:t>
      </w:r>
    </w:p>
    <w:p>
      <w:pPr>
        <w:pStyle w:val="FirstParagraph"/>
        <w:spacing w:lineRule="exact" w:line="480" w:before="0" w:after="0"/>
        <w:ind w:firstLine="720"/>
      </w:pPr>
      <w:r>
        <w:rPr>
          <w:bCs/>
          <w:b/>
        </w:rPr>
        <w:t xml:space="preserve">Count III: First Amendment (prior restraint and unbridled licensing discretion)</w:t>
      </w:r>
    </w:p>
    <w:p>
      <w:pPr>
        <w:pStyle w:val="Compact"/>
        <w:numPr>
          <w:ilvl w:val="0"/>
          <w:numId w:val="1008"/>
        </w:numPr>
        <w:spacing w:lineRule="exact" w:line="480" w:before="0" w:after="0"/>
      </w:pPr>
      <w:r>
        <w:t xml:space="preserve">The Restriction requires a license before speech and [does not limit the licensing official’s</w:t>
      </w:r>
      <w:r>
        <w:t xml:space="preserve"> </w:t>
      </w:r>
      <w:r>
        <w:t xml:space="preserve">discretion by narrow, objective, and definite standards / does not require a decision within a</w:t>
      </w:r>
      <w:r>
        <w:t xml:space="preserve"> </w:t>
      </w:r>
      <w:r>
        <w:t xml:space="preserve">specified brief period or provide prompt judicial review]. A licensing scheme of that kind is an</w:t>
      </w:r>
      <w:r>
        <w:t xml:space="preserve"> </w:t>
      </w:r>
      <w:r>
        <w:t xml:space="preserve">unconstitutional prior restraint.</w:t>
      </w:r>
      <w:r>
        <w:t xml:space="preserve"> </w:t>
      </w:r>
      <w:r>
        <w:rPr>
          <w:iCs/>
          <w:i/>
        </w:rPr>
        <w:t xml:space="preserve">Shuttlesworth v. City of Birmingham</w:t>
      </w:r>
      <w:r>
        <w:t xml:space="preserve">, 394 U.S. 147, 150-51 (1969);</w:t>
      </w:r>
      <w:r>
        <w:t xml:space="preserve"> </w:t>
      </w:r>
      <w:r>
        <w:rPr>
          <w:iCs/>
          <w:i/>
        </w:rPr>
        <w:t xml:space="preserve">Freedman v. Maryland</w:t>
      </w:r>
      <w:r>
        <w:t xml:space="preserve">, 380 U.S. 51, 58-59 (1965).</w:t>
      </w:r>
    </w:p>
    <w:p>
      <w:pPr>
        <w:pStyle w:val="FirstParagraph"/>
        <w:spacing w:lineRule="exact" w:line="480" w:before="0" w:after="0"/>
      </w:pPr>
      <w:r>
        <w:rPr>
          <w:bCs/>
          <w:b/>
        </w:rPr>
        <w:t xml:space="preserve">Count IV: Fifth Amendment (vagueness)</w:t>
      </w:r>
    </w:p>
    <w:p>
      <w:pPr>
        <w:pStyle w:val="Compact"/>
        <w:numPr>
          <w:ilvl w:val="0"/>
          <w:numId w:val="1009"/>
        </w:numPr>
        <w:spacing w:lineRule="exact" w:line="480" w:before="0" w:after="0"/>
      </w:pPr>
      <w:r>
        <w:t xml:space="preserve">The Restriction does not define</w:t>
      </w:r>
      <w:r>
        <w:t xml:space="preserve"> </w:t>
      </w:r>
      <w:r>
        <w:t xml:space="preserve">“</w:t>
      </w:r>
      <w:r>
        <w:t xml:space="preserve">non-human intelligence</w:t>
      </w:r>
      <w:r>
        <w:t xml:space="preserve">”</w:t>
      </w:r>
      <w:r>
        <w:t xml:space="preserve"> </w:t>
      </w:r>
      <w:r>
        <w:t xml:space="preserve">or</w:t>
      </w:r>
      <w:r>
        <w:t xml:space="preserve"> </w:t>
      </w:r>
      <w:r>
        <w:t xml:space="preserve">“</w:t>
      </w:r>
      <w:r>
        <w:t xml:space="preserve">communication</w:t>
      </w:r>
      <w:r>
        <w:t xml:space="preserve">”</w:t>
      </w:r>
      <w:r>
        <w:t xml:space="preserve"> </w:t>
      </w:r>
      <w:r>
        <w:t xml:space="preserve">with enough</w:t>
      </w:r>
      <w:r>
        <w:t xml:space="preserve"> </w:t>
      </w:r>
      <w:r>
        <w:t xml:space="preserve">definiteness that ordinary people can understand what conduct is prohibited, and it invites arbitrary</w:t>
      </w:r>
      <w:r>
        <w:t xml:space="preserve"> </w:t>
      </w:r>
      <w:r>
        <w:t xml:space="preserve">enforcement. [Quote the definitions, or note their absence.] Vagueness is judged more strictly where a</w:t>
      </w:r>
      <w:r>
        <w:t xml:space="preserve"> </w:t>
      </w:r>
      <w:r>
        <w:t xml:space="preserve">law reaches speech.</w:t>
      </w:r>
      <w:r>
        <w:t xml:space="preserve"> </w:t>
      </w:r>
      <w:r>
        <w:rPr>
          <w:iCs/>
          <w:i/>
        </w:rPr>
        <w:t xml:space="preserve">FCC v. Fox Television Stations, Inc.</w:t>
      </w:r>
      <w:r>
        <w:t xml:space="preserve">, 567 U.S. 239, 253 (2012).</w:t>
      </w:r>
    </w:p>
    <w:p>
      <w:pPr>
        <w:pStyle w:val="FirstParagraph"/>
        <w:spacing w:lineRule="exact" w:line="480" w:before="0" w:after="0"/>
        <w:ind w:firstLine="720"/>
      </w:pPr>
      <w:r>
        <w:rPr>
          <w:bCs/>
          <w:b/>
        </w:rPr>
        <w:t xml:space="preserve">Count V: Administrative Procedure Act</w:t>
      </w:r>
      <w:r>
        <w:t xml:space="preserve"> </w:t>
      </w:r>
      <w:r>
        <w:t xml:space="preserve">[if the Restriction is a regulation or agency order]</w:t>
      </w:r>
    </w:p>
    <w:p>
      <w:pPr>
        <w:pStyle w:val="Compact"/>
        <w:numPr>
          <w:ilvl w:val="0"/>
          <w:numId w:val="1010"/>
        </w:numPr>
        <w:spacing w:lineRule="exact" w:line="480" w:before="0" w:after="0"/>
      </w:pPr>
      <w:r>
        <w:t xml:space="preserve">The Restriction is</w:t>
      </w:r>
      <w:r>
        <w:t xml:space="preserve"> </w:t>
      </w:r>
      <w:r>
        <w:t xml:space="preserve">“</w:t>
      </w:r>
      <w:r>
        <w:t xml:space="preserve">contrary to constitutional right,</w:t>
      </w:r>
      <w:r>
        <w:t xml:space="preserve">”</w:t>
      </w:r>
      <w:r>
        <w:t xml:space="preserve"> </w:t>
      </w:r>
      <w:r>
        <w:t xml:space="preserve">5 U.S.C. §706(2)(B), and [exceeds the</w:t>
      </w:r>
      <w:r>
        <w:t xml:space="preserve"> </w:t>
      </w:r>
      <w:r>
        <w:t xml:space="preserve">agency’s statutory authority, §706(2)(C) / was issued without notice and comment, §706(2)(D)].</w:t>
      </w:r>
    </w:p>
    <w:p>
      <w:pPr>
        <w:pStyle w:val="FirstParagraph"/>
        <w:spacing w:lineRule="exact" w:line="480" w:before="0" w:after="0"/>
      </w:pPr>
      <w:r>
        <w:rPr>
          <w:bCs/>
          <w:b/>
        </w:rPr>
        <w:t xml:space="preserve">[Alternative Count VI: Foreign Agents Registration Act as applied]</w:t>
      </w:r>
      <w:r>
        <w:t xml:space="preserve"> </w:t>
      </w:r>
      <w:r>
        <w:t xml:space="preserve">[Use if the government treats contact</w:t>
      </w:r>
      <w:r>
        <w:t xml:space="preserve"> </w:t>
      </w:r>
      <w:r>
        <w:t xml:space="preserve">activity as acting for a</w:t>
      </w:r>
      <w:r>
        <w:t xml:space="preserve"> </w:t>
      </w:r>
      <w:r>
        <w:t xml:space="preserve">“</w:t>
      </w:r>
      <w:r>
        <w:t xml:space="preserve">foreign principal</w:t>
      </w:r>
      <w:r>
        <w:t xml:space="preserve">”</w:t>
      </w:r>
      <w:r>
        <w:t xml:space="preserve"> </w:t>
      </w:r>
      <w:r>
        <w:t xml:space="preserve">under 22 U.S.C. §611(b) and demands registration.]</w:t>
      </w:r>
    </w:p>
    <w:p>
      <w:pPr>
        <w:numPr>
          <w:ilvl w:val="0"/>
          <w:numId w:val="1011"/>
        </w:numPr>
        <w:spacing w:lineRule="exact" w:line="480" w:before="0" w:after="0"/>
      </w:pPr>
      <w:r>
        <w:t xml:space="preserve">[Agency] has [demanded / threatened to demand] that Plaintiffs register under 22 U.S.C. §612 as agents of</w:t>
      </w:r>
      <w:r>
        <w:t xml:space="preserve"> </w:t>
      </w:r>
      <w:r>
        <w:t xml:space="preserve">[describe the asserted principal]. Plaintiffs do not act</w:t>
      </w:r>
      <w:r>
        <w:t xml:space="preserve"> </w:t>
      </w:r>
      <w:r>
        <w:t xml:space="preserve">“</w:t>
      </w:r>
      <w:r>
        <w:t xml:space="preserve">at the order, request, or under the direction or control</w:t>
      </w:r>
      <w:r>
        <w:t xml:space="preserve">”</w:t>
      </w:r>
      <w:r>
        <w:t xml:space="preserve"> </w:t>
      </w:r>
      <w:r>
        <w:t xml:space="preserve">of any foreign principal (§611(c)(1)). Their communications are their own and are directed to [describe audience</w:t>
      </w:r>
      <w:r>
        <w:t xml:space="preserve"> </w:t>
      </w:r>
      <w:r>
        <w:t xml:space="preserve">or recipient].</w:t>
      </w:r>
    </w:p>
    <w:p>
      <w:pPr>
        <w:numPr>
          <w:ilvl w:val="0"/>
          <w:numId w:val="1011"/>
        </w:numPr>
        <w:spacing w:lineRule="exact" w:line="480" w:before="0" w:after="0"/>
      </w:pPr>
      <w:r>
        <w:t xml:space="preserve">A non-human intelligence is not</w:t>
      </w:r>
      <w:r>
        <w:t xml:space="preserve"> </w:t>
      </w:r>
      <w:r>
        <w:t xml:space="preserve">“</w:t>
      </w:r>
      <w:r>
        <w:t xml:space="preserve">a government of a foreign country,</w:t>
      </w:r>
      <w:r>
        <w:t xml:space="preserve">”</w:t>
      </w:r>
      <w:r>
        <w:t xml:space="preserve"> </w:t>
      </w:r>
      <w:r>
        <w:t xml:space="preserve">“</w:t>
      </w:r>
      <w:r>
        <w:t xml:space="preserve">a foreign political party,</w:t>
      </w:r>
      <w:r>
        <w:t xml:space="preserve">”</w:t>
      </w:r>
      <w:r>
        <w:t xml:space="preserve"> </w:t>
      </w:r>
      <w:r>
        <w:t xml:space="preserve">or</w:t>
      </w:r>
      <w:r>
        <w:t xml:space="preserve"> </w:t>
      </w:r>
      <w:r>
        <w:t xml:space="preserve">“</w:t>
      </w:r>
      <w:r>
        <w:t xml:space="preserve">a person</w:t>
      </w:r>
      <w:r>
        <w:t xml:space="preserve"> </w:t>
      </w:r>
      <w:r>
        <w:t xml:space="preserve">outside of the United States</w:t>
      </w:r>
      <w:r>
        <w:t xml:space="preserve">”</w:t>
      </w:r>
      <w:r>
        <w:t xml:space="preserve"> </w:t>
      </w:r>
      <w:r>
        <w:t xml:space="preserve">within §611(b), and FARA’s registration and labeling requirements cannot be extended</w:t>
      </w:r>
      <w:r>
        <w:t xml:space="preserve"> </w:t>
      </w:r>
      <w:r>
        <w:t xml:space="preserve">to Plaintiffs’ own speech without a clear statement by Congress. Applied to Plaintiffs, the registration demand is</w:t>
      </w:r>
      <w:r>
        <w:t xml:space="preserve"> </w:t>
      </w:r>
      <w:r>
        <w:t xml:space="preserve">a content-based burden on speech and petition that fails strict scrutiny.</w:t>
      </w:r>
      <w:r>
        <w:t xml:space="preserve"> </w:t>
      </w:r>
      <w:r>
        <w:rPr>
          <w:iCs/>
          <w:i/>
        </w:rPr>
        <w:t xml:space="preserve">Reed v. Town of Gilbert</w:t>
      </w:r>
      <w:r>
        <w:t xml:space="preserve">, 576 U.S. 155,</w:t>
      </w:r>
      <w:r>
        <w:t xml:space="preserve"> </w:t>
      </w:r>
      <w:r>
        <w:t xml:space="preserve">163-65 (2015).</w:t>
      </w:r>
    </w:p>
    <w:p>
      <w:pPr>
        <w:pStyle w:val="FirstParagraph"/>
        <w:keepNext/>
        <w:spacing w:lineRule="exact" w:line="480" w:before="0" w:after="0"/>
        <w:jc w:val="center"/>
      </w:pPr>
      <w:r>
        <w:rPr>
          <w:bCs/>
          <w:b/>
        </w:rPr>
        <w:t xml:space="preserve">PRAYER FOR RELIEF</w:t>
      </w:r>
    </w:p>
    <w:p>
      <w:pPr>
        <w:pStyle w:val="BodyText"/>
        <w:spacing w:lineRule="exact" w:line="480" w:before="0" w:after="0"/>
      </w:pPr>
      <w:r>
        <w:t xml:space="preserve">Plaintiffs ask the Court to:</w:t>
      </w:r>
    </w:p>
    <w:p>
      <w:pPr>
        <w:pStyle w:val="BodyText"/>
        <w:spacing w:lineRule="exact" w:line="480" w:before="0" w:after="0"/>
        <w:ind w:firstLine="720"/>
      </w:pPr>
      <w:r>
        <w:t xml:space="preserve">A. Declare that the Restriction violates the First and Fifth Amendments [and the APA] on its face and</w:t>
      </w:r>
      <w:r>
        <w:t xml:space="preserve"> </w:t>
      </w:r>
      <w:r>
        <w:t xml:space="preserve">as applied to Plaintiffs;</w:t>
      </w:r>
    </w:p>
    <w:p>
      <w:pPr>
        <w:pStyle w:val="BodyText"/>
        <w:spacing w:lineRule="exact" w:line="480" w:before="0" w:after="0"/>
        <w:ind w:firstLine="720"/>
      </w:pPr>
      <w:r>
        <w:t xml:space="preserve">B. Preliminarily and permanently enjoin Defendants from enforcing the Restriction against Plaintiffs</w:t>
      </w:r>
      <w:r>
        <w:t xml:space="preserve"> </w:t>
      </w:r>
      <w:r>
        <w:t xml:space="preserve">[and others];</w:t>
      </w:r>
    </w:p>
    <w:p>
      <w:pPr>
        <w:pStyle w:val="BodyText"/>
        <w:spacing w:lineRule="exact" w:line="480" w:before="0" w:after="0"/>
        <w:ind w:firstLine="720"/>
      </w:pPr>
      <w:r>
        <w:t xml:space="preserve">C. Award costs and reasonable attorney’s fees under 28 U.S.C. §2412; and</w:t>
      </w:r>
    </w:p>
    <w:p>
      <w:pPr>
        <w:pStyle w:val="BodyText"/>
        <w:spacing w:lineRule="exact" w:line="480" w:before="0" w:after="0"/>
      </w:pPr>
      <w:r>
        <w:t xml:space="preserve">D. Grant such other relief as is just.</w:t>
      </w:r>
    </w:p>
    <w:p>
      <w:pPr>
        <w:pStyle w:val="BodyText"/>
        <w:spacing w:lineRule="exact" w:line="480" w:before="0" w:after="0"/>
      </w:pPr>
      <w:r>
        <w:t xml:space="preserve">Dated: [__________] Respectfully submitted,</w:t>
      </w:r>
      <w:r>
        <w:br/>
      </w:r>
      <w:r>
        <w:t xml:space="preserve">[signature block]</w:t>
      </w:r>
    </w:p>
    <w:p>
      <w:pPr>
        <w:pStyle w:val="BodyText"/>
        <w:spacing w:lineRule="exact" w:line="40" w:before="0" w:after="0"/>
        <w:sectPr>
          <w:headerReference w:type="default" r:id="rId11"/>
          <w:footerReference w:type="default" r:id="rId12"/>
          <w:pgSz w:h="15840" w:w="12240"/>
          <w:pgMar w:bottom="936" w:left="2160" w:right="864" w:top="1440" w:header="576" w:footer="360"/>
          <w:pgBorders w:offsetFrom="text">
            <w:left w:val="double" w:sz="4" w:space="4" w:color="000000"/>
            <w:right w:val="single" w:sz="4" w:space="4" w:color="000000"/>
          </w:pgBorders>
          <w:pgNumType w:start="1"/>
        </w:sectPr>
      </w:pPr>
    </w:p>
    <w:bookmarkStart w:id="23" w:name="drafting-notes"/>
    <w:p>
      <w:pPr>
        <w:pStyle w:val="Heading2"/>
      </w:pPr>
      <w:r>
        <w:t xml:space="preserve">Drafting notes</w:t>
      </w:r>
    </w:p>
    <w:p>
      <w:pPr>
        <w:pStyle w:val="Compact"/>
        <w:numPr>
          <w:ilvl w:val="0"/>
          <w:numId w:val="1012"/>
        </w:numPr>
      </w:pPr>
      <w:r>
        <w:rPr>
          <w:bCs/>
          <w:b/>
        </w:rPr>
        <w:t xml:space="preserve">Concede the narrow rules.</w:t>
      </w:r>
      <w:r>
        <w:t xml:space="preserve"> </w:t>
      </w:r>
      <w:r>
        <w:t xml:space="preserve">Paragraph 2 and Count I’s tailoring argument concede export controls on</w:t>
      </w:r>
      <w:r>
        <w:t xml:space="preserve"> </w:t>
      </w:r>
      <w:r>
        <w:t xml:space="preserve">specified technical data and content-neutral transmitter rules. Courts have sustained regulation of</w:t>
      </w:r>
      <w:r>
        <w:t xml:space="preserve"> </w:t>
      </w:r>
      <w:r>
        <w:t xml:space="preserve">functional technical data sent to identified recipients (</w:t>
      </w:r>
      <w:hyperlink r:id="rId20">
        <w:r>
          <w:rPr>
            <w:rStyle w:val="Hyperlink"/>
          </w:rPr>
          <w:t xml:space="preserve">Issue F3</w:t>
        </w:r>
      </w:hyperlink>
      <w:r>
        <w:t xml:space="preserve">,</w:t>
      </w:r>
      <w:r>
        <w:t xml:space="preserve"> </w:t>
      </w:r>
      <w:hyperlink r:id="rId21">
        <w:r>
          <w:rPr>
            <w:rStyle w:val="Hyperlink"/>
          </w:rPr>
          <w:t xml:space="preserve">Issue A5</w:t>
        </w:r>
      </w:hyperlink>
      <w:r>
        <w:t xml:space="preserve">), and contesting those</w:t>
      </w:r>
      <w:r>
        <w:t xml:space="preserve"> </w:t>
      </w:r>
      <w:r>
        <w:t xml:space="preserve">rules weakens the case.</w:t>
      </w:r>
    </w:p>
    <w:p>
      <w:pPr>
        <w:pStyle w:val="Compact"/>
        <w:numPr>
          <w:ilvl w:val="0"/>
          <w:numId w:val="1012"/>
        </w:numPr>
      </w:pPr>
      <w:r>
        <w:rPr>
          <w:bCs/>
          <w:b/>
        </w:rPr>
        <w:t xml:space="preserve">Holder v. Humanitarian Law Project.</w:t>
      </w:r>
      <w:r>
        <w:t xml:space="preserve"> </w:t>
      </w:r>
      <w:r>
        <w:t xml:space="preserve">Expect the government to rely on</w:t>
      </w:r>
      <w:r>
        <w:t xml:space="preserve"> </w:t>
      </w:r>
      <w:r>
        <w:rPr>
          <w:iCs/>
          <w:i/>
        </w:rPr>
        <w:t xml:space="preserve">Holder v. Humanitarian Law</w:t>
      </w:r>
      <w:r>
        <w:rPr>
          <w:iCs/>
          <w:i/>
        </w:rPr>
        <w:t xml:space="preserve"> </w:t>
      </w:r>
      <w:r>
        <w:rPr>
          <w:iCs/>
          <w:i/>
        </w:rPr>
        <w:t xml:space="preserve">Project</w:t>
      </w:r>
      <w:r>
        <w:t xml:space="preserve">, 561 U.S. 1 (2010). Distinguish it:</w:t>
      </w:r>
      <w:r>
        <w:t xml:space="preserve"> </w:t>
      </w:r>
      <w:r>
        <w:rPr>
          <w:iCs/>
          <w:i/>
        </w:rPr>
        <w:t xml:space="preserve">Holder</w:t>
      </w:r>
      <w:r>
        <w:t xml:space="preserve"> </w:t>
      </w:r>
      <w:r>
        <w:t xml:space="preserve">upheld a ban on expert advice and training</w:t>
      </w:r>
      <w:r>
        <w:t xml:space="preserve"> </w:t>
      </w:r>
      <w:r>
        <w:t xml:space="preserve">coordinated with designated foreign terrorist organizations, and it emphasized that independent</w:t>
      </w:r>
      <w:r>
        <w:t xml:space="preserve"> </w:t>
      </w:r>
      <w:r>
        <w:t xml:space="preserve">advocacy remained lawful. A ban on all communication with an entire class of beings, with no</w:t>
      </w:r>
      <w:r>
        <w:t xml:space="preserve"> </w:t>
      </w:r>
      <w:r>
        <w:t xml:space="preserve">designation and no coordination element, goes far beyond what</w:t>
      </w:r>
      <w:r>
        <w:t xml:space="preserve"> </w:t>
      </w:r>
      <w:r>
        <w:rPr>
          <w:iCs/>
          <w:i/>
        </w:rPr>
        <w:t xml:space="preserve">Holder</w:t>
      </w:r>
      <w:r>
        <w:t xml:space="preserve"> </w:t>
      </w:r>
      <w:r>
        <w:t xml:space="preserve">sustained.</w:t>
      </w:r>
    </w:p>
    <w:p>
      <w:pPr>
        <w:pStyle w:val="Compact"/>
        <w:numPr>
          <w:ilvl w:val="0"/>
          <w:numId w:val="1012"/>
        </w:numPr>
      </w:pPr>
      <w:r>
        <w:rPr>
          <w:bCs/>
          <w:b/>
        </w:rPr>
        <w:t xml:space="preserve">Facial and as-applied.</w:t>
      </w:r>
      <w:r>
        <w:t xml:space="preserve"> </w:t>
      </w:r>
      <w:r>
        <w:t xml:space="preserve">Plead both. An as-applied claim for the scientific transmission program is</w:t>
      </w:r>
      <w:r>
        <w:t xml:space="preserve"> </w:t>
      </w:r>
      <w:r>
        <w:t xml:space="preserve">the strongest; the overbreadth argument supports facial relief.</w:t>
      </w:r>
    </w:p>
    <w:p>
      <w:pPr>
        <w:pStyle w:val="Compact"/>
        <w:numPr>
          <w:ilvl w:val="0"/>
          <w:numId w:val="1012"/>
        </w:numPr>
      </w:pPr>
      <w:r>
        <w:rPr>
          <w:bCs/>
          <w:b/>
        </w:rPr>
        <w:t xml:space="preserve">Preliminary injunction.</w:t>
      </w:r>
      <w:r>
        <w:t xml:space="preserve"> </w:t>
      </w:r>
      <w:r>
        <w:t xml:space="preserve">File a motion with declarations describing each Plaintiff’s plans and the</w:t>
      </w:r>
      <w:r>
        <w:t xml:space="preserve"> </w:t>
      </w:r>
      <w:r>
        <w:t xml:space="preserve">irreparable harm of lost speech.</w:t>
      </w:r>
      <w:r>
        <w:t xml:space="preserve"> </w:t>
      </w:r>
      <w:r>
        <w:rPr>
          <w:iCs/>
          <w:i/>
        </w:rPr>
        <w:t xml:space="preserve">Elrod v. Burns</w:t>
      </w:r>
      <w:r>
        <w:t xml:space="preserve">, 427 U.S. 347, 373 (1976) (plurality) (loss of First</w:t>
      </w:r>
      <w:r>
        <w:t xml:space="preserve"> </w:t>
      </w:r>
      <w:r>
        <w:t xml:space="preserve">Amendment freedoms for even minimal periods is irreparable injury).</w:t>
      </w:r>
    </w:p>
    <w:p>
      <w:pPr>
        <w:pStyle w:val="Compact"/>
        <w:numPr>
          <w:ilvl w:val="0"/>
          <w:numId w:val="1012"/>
        </w:numPr>
      </w:pPr>
      <w:r>
        <w:rPr>
          <w:bCs/>
          <w:b/>
        </w:rPr>
        <w:t xml:space="preserve">Pin cites</w:t>
      </w:r>
      <w:r>
        <w:t xml:space="preserve">:</w:t>
      </w:r>
      <w:r>
        <w:t xml:space="preserve"> </w:t>
      </w:r>
      <w:r>
        <w:rPr>
          <w:iCs/>
          <w:i/>
        </w:rPr>
        <w:t xml:space="preserve">Driehaus</w:t>
      </w:r>
      <w:r>
        <w:t xml:space="preserve"> </w:t>
      </w:r>
      <w:r>
        <w:t xml:space="preserve">at 159;</w:t>
      </w:r>
      <w:r>
        <w:t xml:space="preserve"> </w:t>
      </w:r>
      <w:r>
        <w:rPr>
          <w:iCs/>
          <w:i/>
        </w:rPr>
        <w:t xml:space="preserve">Reed</w:t>
      </w:r>
      <w:r>
        <w:t xml:space="preserve"> </w:t>
      </w:r>
      <w:r>
        <w:t xml:space="preserve">at 163-65;</w:t>
      </w:r>
      <w:r>
        <w:t xml:space="preserve"> </w:t>
      </w:r>
      <w:r>
        <w:rPr>
          <w:iCs/>
          <w:i/>
        </w:rPr>
        <w:t xml:space="preserve">Lamont</w:t>
      </w:r>
      <w:r>
        <w:t xml:space="preserve"> </w:t>
      </w:r>
      <w:r>
        <w:t xml:space="preserve">at 305-07;</w:t>
      </w:r>
      <w:r>
        <w:t xml:space="preserve"> </w:t>
      </w:r>
      <w:r>
        <w:rPr>
          <w:iCs/>
          <w:i/>
        </w:rPr>
        <w:t xml:space="preserve">Mandel</w:t>
      </w:r>
      <w:r>
        <w:t xml:space="preserve"> </w:t>
      </w:r>
      <w:r>
        <w:t xml:space="preserve">at 762-65;</w:t>
      </w:r>
      <w:r>
        <w:t xml:space="preserve"> </w:t>
      </w:r>
      <w:r>
        <w:rPr>
          <w:iCs/>
          <w:i/>
        </w:rPr>
        <w:t xml:space="preserve">Shuttlesworth</w:t>
      </w:r>
      <w:r>
        <w:t xml:space="preserve"> </w:t>
      </w:r>
      <w:r>
        <w:t xml:space="preserve">at 150-51;</w:t>
      </w:r>
      <w:r>
        <w:t xml:space="preserve"> </w:t>
      </w:r>
      <w:r>
        <w:rPr>
          <w:iCs/>
          <w:i/>
        </w:rPr>
        <w:t xml:space="preserve">Freedman</w:t>
      </w:r>
      <w:r>
        <w:t xml:space="preserve"> </w:t>
      </w:r>
      <w:r>
        <w:t xml:space="preserve">at 58-59;</w:t>
      </w:r>
      <w:r>
        <w:t xml:space="preserve"> </w:t>
      </w:r>
      <w:r>
        <w:rPr>
          <w:iCs/>
          <w:i/>
        </w:rPr>
        <w:t xml:space="preserve">Fox</w:t>
      </w:r>
      <w:r>
        <w:t xml:space="preserve"> </w:t>
      </w:r>
      <w:r>
        <w:t xml:space="preserve">at 253;</w:t>
      </w:r>
      <w:r>
        <w:t xml:space="preserve"> </w:t>
      </w:r>
      <w:r>
        <w:rPr>
          <w:iCs/>
          <w:i/>
        </w:rPr>
        <w:t xml:space="preserve">Elrod</w:t>
      </w:r>
      <w:r>
        <w:t xml:space="preserve"> </w:t>
      </w:r>
      <w:r>
        <w:t xml:space="preserve">at 373. Run KeyCite before</w:t>
      </w:r>
      <w:r>
        <w:t xml:space="preserve"> </w:t>
      </w:r>
      <w:r>
        <w:t xml:space="preserve">filing.</w:t>
      </w:r>
    </w:p>
    <w:p>
      <w:pPr>
        <w:pStyle w:val="Compact"/>
        <w:numPr>
          <w:ilvl w:val="0"/>
          <w:numId w:val="1012"/>
        </w:numPr>
      </w:pPr>
      <w:r>
        <w:t xml:space="preserve">Related:</w:t>
      </w:r>
      <w:r>
        <w:t xml:space="preserve"> </w:t>
      </w:r>
      <w:hyperlink r:id="rId20">
        <w:r>
          <w:rPr>
            <w:rStyle w:val="Hyperlink"/>
          </w:rPr>
          <w:t xml:space="preserve">Issue F3</w:t>
        </w:r>
      </w:hyperlink>
      <w:r>
        <w:t xml:space="preserve">, A5, B4;</w:t>
      </w:r>
      <w:r>
        <w:t xml:space="preserve"> </w:t>
      </w:r>
      <w:hyperlink r:id="rId22">
        <w:r>
          <w:rPr>
            <w:rStyle w:val="Hyperlink"/>
          </w:rPr>
          <w:t xml:space="preserve">Form F3-2</w:t>
        </w:r>
      </w:hyperlink>
      <w:r>
        <w:t xml:space="preserve">.</w:t>
      </w:r>
    </w:p>
    <w:bookmarkEnd w:id="23"/>
    <w:bookmarkEnd w:id="24"/>
    <w:sectPr>
      <w:headerReference w:type="default" r:id="rId13"/>
      <w:footerReference w:type="default" r:id="rId14"/>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Rule="exact" w:line="220" w:before="0" w:after="0"/>
      <w:jc w:val="center"/>
    </w:pPr>
    <w:r>
      <w:rPr>
        <w:rFonts w:ascii="Times New Roman" w:hAnsi="Times New Roman" w:cs="Times New Roman" w:eastAsia="Times New Roman"/>
        <w:sz w:val="20"/>
      </w:rPr>
      <w:fldChar w:fldCharType="begin"/>
    </w:r>
    <w:r>
      <w:rPr>
        <w:rFonts w:ascii="Times New Roman" w:hAnsi="Times New Roman" w:cs="Times New Roman" w:eastAsia="Times New Roman"/>
        <w:sz w:val="20"/>
      </w:rPr>
      <w:instrText xml:space="preserve"> PAGE </w:instrText>
    </w:r>
    <w:r>
      <w:rPr>
        <w:rFonts w:ascii="Times New Roman" w:hAnsi="Times New Roman" w:cs="Times New Roman" w:eastAsia="Times New Roman"/>
        <w:sz w:val="20"/>
      </w:rPr>
      <w:fldChar w:fldCharType="separate"/>
    </w:r>
    <w:r>
      <w:rPr>
        <w:rFonts w:ascii="Times New Roman" w:hAnsi="Times New Roman" w:cs="Times New Roman" w:eastAsia="Times New Roman"/>
        <w:sz w:val="20"/>
      </w:rPr>
      <w:t>1</w:t>
    </w:r>
    <w:r>
      <w:rPr>
        <w:rFonts w:ascii="Times New Roman" w:hAnsi="Times New Roman" w:cs="Times New Roman" w:eastAsia="Times New Roman"/>
        <w:sz w:val="20"/>
      </w:rPr>
      <w:fldChar w:fldCharType="end"/>
    </w:r>
  </w:p>
  <w:p>
    <w:pPr>
      <w:pBdr>
        <w:top w:val="single" w:sz="6" w:space="1" w:color="000000"/>
      </w:pBdr>
      <w:spacing w:lineRule="exact" w:line="220" w:before="0" w:after="0"/>
      <w:jc w:val="center"/>
    </w:pPr>
    <w:r>
      <w:rPr>
        <w:rFonts w:ascii="Times New Roman" w:hAnsi="Times New Roman" w:cs="Times New Roman" w:eastAsia="Times New Roman"/>
        <w:sz w:val="18"/>
      </w:rPr>
      <w:t>COMPLAINT FOR DECLARATORY AND INJUNCTIVE RELIEF</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Rule="exact" w:line="40" w:before="0" w:after="0"/>
    </w:pPr>
    <w:r>
      <w:pict>
        <v:shapetype id="_x0000_t202" coordsize="21600,21600" o:spt="202" path="m,l,21600r21600,l21600,xe">
          <v:stroke joinstyle="miter"/>
          <v:path gradientshapeok="t" o:connecttype="rect"/>
        </v:shapetype>
        <v:shape id="PleadingLineNumbers" o:spid="_x0000_s1025" type="#_x0000_t202" filled="f" stroked="f" style="position:absolute;margin-left:0.8in;margin-top:1in;width:0.5in;height:672pt;z-index:-251657216;mso-position-horizontal-relative:page;mso-position-vertical-relative:page">
          <v:textbox inset="0,0,0,0">
            <w:txbxContent>
              <w:p>
                <w:pPr>
                  <w:spacing w:before="0" w:after="0" w:line="480" w:lineRule="exact"/>
                  <w:jc w:val="right"/>
                </w:pPr>
                <w:r>
                  <w:rPr>
                    <w:rFonts w:ascii="Times New Roman" w:hAnsi="Times New Roman" w:cs="Times New Roman"/>
                    <w:sz w:val="24"/>
                  </w:rPr>
                  <w:t>1</w:t>
                </w:r>
              </w:p>
              <w:p>
                <w:pPr>
                  <w:spacing w:before="0" w:after="0" w:line="480" w:lineRule="exact"/>
                  <w:jc w:val="right"/>
                </w:pPr>
                <w:r>
                  <w:rPr>
                    <w:rFonts w:ascii="Times New Roman" w:hAnsi="Times New Roman" w:cs="Times New Roman"/>
                    <w:sz w:val="24"/>
                  </w:rPr>
                  <w:t>2</w:t>
                </w:r>
              </w:p>
              <w:p>
                <w:pPr>
                  <w:spacing w:before="0" w:after="0" w:line="480" w:lineRule="exact"/>
                  <w:jc w:val="right"/>
                </w:pPr>
                <w:r>
                  <w:rPr>
                    <w:rFonts w:ascii="Times New Roman" w:hAnsi="Times New Roman" w:cs="Times New Roman"/>
                    <w:sz w:val="24"/>
                  </w:rPr>
                  <w:t>3</w:t>
                </w:r>
              </w:p>
              <w:p>
                <w:pPr>
                  <w:spacing w:before="0" w:after="0" w:line="480" w:lineRule="exact"/>
                  <w:jc w:val="right"/>
                </w:pPr>
                <w:r>
                  <w:rPr>
                    <w:rFonts w:ascii="Times New Roman" w:hAnsi="Times New Roman" w:cs="Times New Roman"/>
                    <w:sz w:val="24"/>
                  </w:rPr>
                  <w:t>4</w:t>
                </w:r>
              </w:p>
              <w:p>
                <w:pPr>
                  <w:spacing w:before="0" w:after="0" w:line="480" w:lineRule="exact"/>
                  <w:jc w:val="right"/>
                </w:pPr>
                <w:r>
                  <w:rPr>
                    <w:rFonts w:ascii="Times New Roman" w:hAnsi="Times New Roman" w:cs="Times New Roman"/>
                    <w:sz w:val="24"/>
                  </w:rPr>
                  <w:t>5</w:t>
                </w:r>
              </w:p>
              <w:p>
                <w:pPr>
                  <w:spacing w:before="0" w:after="0" w:line="480" w:lineRule="exact"/>
                  <w:jc w:val="right"/>
                </w:pPr>
                <w:r>
                  <w:rPr>
                    <w:rFonts w:ascii="Times New Roman" w:hAnsi="Times New Roman" w:cs="Times New Roman"/>
                    <w:sz w:val="24"/>
                  </w:rPr>
                  <w:t>6</w:t>
                </w:r>
              </w:p>
              <w:p>
                <w:pPr>
                  <w:spacing w:before="0" w:after="0" w:line="480" w:lineRule="exact"/>
                  <w:jc w:val="right"/>
                </w:pPr>
                <w:r>
                  <w:rPr>
                    <w:rFonts w:ascii="Times New Roman" w:hAnsi="Times New Roman" w:cs="Times New Roman"/>
                    <w:sz w:val="24"/>
                  </w:rPr>
                  <w:t>7</w:t>
                </w:r>
              </w:p>
              <w:p>
                <w:pPr>
                  <w:spacing w:before="0" w:after="0" w:line="480" w:lineRule="exact"/>
                  <w:jc w:val="right"/>
                </w:pPr>
                <w:r>
                  <w:rPr>
                    <w:rFonts w:ascii="Times New Roman" w:hAnsi="Times New Roman" w:cs="Times New Roman"/>
                    <w:sz w:val="24"/>
                  </w:rPr>
                  <w:t>8</w:t>
                </w:r>
              </w:p>
              <w:p>
                <w:pPr>
                  <w:spacing w:before="0" w:after="0" w:line="480" w:lineRule="exact"/>
                  <w:jc w:val="right"/>
                </w:pPr>
                <w:r>
                  <w:rPr>
                    <w:rFonts w:ascii="Times New Roman" w:hAnsi="Times New Roman" w:cs="Times New Roman"/>
                    <w:sz w:val="24"/>
                  </w:rPr>
                  <w:t>9</w:t>
                </w:r>
              </w:p>
              <w:p>
                <w:pPr>
                  <w:spacing w:before="0" w:after="0" w:line="480" w:lineRule="exact"/>
                  <w:jc w:val="right"/>
                </w:pPr>
                <w:r>
                  <w:rPr>
                    <w:rFonts w:ascii="Times New Roman" w:hAnsi="Times New Roman" w:cs="Times New Roman"/>
                    <w:sz w:val="24"/>
                  </w:rPr>
                  <w:t>10</w:t>
                </w:r>
              </w:p>
              <w:p>
                <w:pPr>
                  <w:spacing w:before="0" w:after="0" w:line="480" w:lineRule="exact"/>
                  <w:jc w:val="right"/>
                </w:pPr>
                <w:r>
                  <w:rPr>
                    <w:rFonts w:ascii="Times New Roman" w:hAnsi="Times New Roman" w:cs="Times New Roman"/>
                    <w:sz w:val="24"/>
                  </w:rPr>
                  <w:t>11</w:t>
                </w:r>
              </w:p>
              <w:p>
                <w:pPr>
                  <w:spacing w:before="0" w:after="0" w:line="480" w:lineRule="exact"/>
                  <w:jc w:val="right"/>
                </w:pPr>
                <w:r>
                  <w:rPr>
                    <w:rFonts w:ascii="Times New Roman" w:hAnsi="Times New Roman" w:cs="Times New Roman"/>
                    <w:sz w:val="24"/>
                  </w:rPr>
                  <w:t>12</w:t>
                </w:r>
              </w:p>
              <w:p>
                <w:pPr>
                  <w:spacing w:before="0" w:after="0" w:line="480" w:lineRule="exact"/>
                  <w:jc w:val="right"/>
                </w:pPr>
                <w:r>
                  <w:rPr>
                    <w:rFonts w:ascii="Times New Roman" w:hAnsi="Times New Roman" w:cs="Times New Roman"/>
                    <w:sz w:val="24"/>
                  </w:rPr>
                  <w:t>13</w:t>
                </w:r>
              </w:p>
              <w:p>
                <w:pPr>
                  <w:spacing w:before="0" w:after="0" w:line="480" w:lineRule="exact"/>
                  <w:jc w:val="right"/>
                </w:pPr>
                <w:r>
                  <w:rPr>
                    <w:rFonts w:ascii="Times New Roman" w:hAnsi="Times New Roman" w:cs="Times New Roman"/>
                    <w:sz w:val="24"/>
                  </w:rPr>
                  <w:t>14</w:t>
                </w:r>
              </w:p>
              <w:p>
                <w:pPr>
                  <w:spacing w:before="0" w:after="0" w:line="480" w:lineRule="exact"/>
                  <w:jc w:val="right"/>
                </w:pPr>
                <w:r>
                  <w:rPr>
                    <w:rFonts w:ascii="Times New Roman" w:hAnsi="Times New Roman" w:cs="Times New Roman"/>
                    <w:sz w:val="24"/>
                  </w:rPr>
                  <w:t>15</w:t>
                </w:r>
              </w:p>
              <w:p>
                <w:pPr>
                  <w:spacing w:before="0" w:after="0" w:line="480" w:lineRule="exact"/>
                  <w:jc w:val="right"/>
                </w:pPr>
                <w:r>
                  <w:rPr>
                    <w:rFonts w:ascii="Times New Roman" w:hAnsi="Times New Roman" w:cs="Times New Roman"/>
                    <w:sz w:val="24"/>
                  </w:rPr>
                  <w:t>16</w:t>
                </w:r>
              </w:p>
              <w:p>
                <w:pPr>
                  <w:spacing w:before="0" w:after="0" w:line="480" w:lineRule="exact"/>
                  <w:jc w:val="right"/>
                </w:pPr>
                <w:r>
                  <w:rPr>
                    <w:rFonts w:ascii="Times New Roman" w:hAnsi="Times New Roman" w:cs="Times New Roman"/>
                    <w:sz w:val="24"/>
                  </w:rPr>
                  <w:t>17</w:t>
                </w:r>
              </w:p>
              <w:p>
                <w:pPr>
                  <w:spacing w:before="0" w:after="0" w:line="480" w:lineRule="exact"/>
                  <w:jc w:val="right"/>
                </w:pPr>
                <w:r>
                  <w:rPr>
                    <w:rFonts w:ascii="Times New Roman" w:hAnsi="Times New Roman" w:cs="Times New Roman"/>
                    <w:sz w:val="24"/>
                  </w:rPr>
                  <w:t>18</w:t>
                </w:r>
              </w:p>
              <w:p>
                <w:pPr>
                  <w:spacing w:before="0" w:after="0" w:line="480" w:lineRule="exact"/>
                  <w:jc w:val="right"/>
                </w:pPr>
                <w:r>
                  <w:rPr>
                    <w:rFonts w:ascii="Times New Roman" w:hAnsi="Times New Roman" w:cs="Times New Roman"/>
                    <w:sz w:val="24"/>
                  </w:rPr>
                  <w:t>19</w:t>
                </w:r>
              </w:p>
              <w:p>
                <w:pPr>
                  <w:spacing w:before="0" w:after="0" w:line="480" w:lineRule="exact"/>
                  <w:jc w:val="right"/>
                </w:pPr>
                <w:r>
                  <w:rPr>
                    <w:rFonts w:ascii="Times New Roman" w:hAnsi="Times New Roman" w:cs="Times New Roman"/>
                    <w:sz w:val="24"/>
                  </w:rPr>
                  <w:t>20</w:t>
                </w:r>
              </w:p>
              <w:p>
                <w:pPr>
                  <w:spacing w:before="0" w:after="0" w:line="480" w:lineRule="exact"/>
                  <w:jc w:val="right"/>
                </w:pPr>
                <w:r>
                  <w:rPr>
                    <w:rFonts w:ascii="Times New Roman" w:hAnsi="Times New Roman" w:cs="Times New Roman"/>
                    <w:sz w:val="24"/>
                  </w:rPr>
                  <w:t>21</w:t>
                </w:r>
              </w:p>
              <w:p>
                <w:pPr>
                  <w:spacing w:before="0" w:after="0" w:line="480" w:lineRule="exact"/>
                  <w:jc w:val="right"/>
                </w:pPr>
                <w:r>
                  <w:rPr>
                    <w:rFonts w:ascii="Times New Roman" w:hAnsi="Times New Roman" w:cs="Times New Roman"/>
                    <w:sz w:val="24"/>
                  </w:rPr>
                  <w:t>22</w:t>
                </w:r>
              </w:p>
              <w:p>
                <w:pPr>
                  <w:spacing w:before="0" w:after="0" w:line="480" w:lineRule="exact"/>
                  <w:jc w:val="right"/>
                </w:pPr>
                <w:r>
                  <w:rPr>
                    <w:rFonts w:ascii="Times New Roman" w:hAnsi="Times New Roman" w:cs="Times New Roman"/>
                    <w:sz w:val="24"/>
                  </w:rPr>
                  <w:t>23</w:t>
                </w:r>
              </w:p>
              <w:p>
                <w:pPr>
                  <w:spacing w:before="0" w:after="0" w:line="480" w:lineRule="exact"/>
                  <w:jc w:val="right"/>
                </w:pPr>
                <w:r>
                  <w:rPr>
                    <w:rFonts w:ascii="Times New Roman" w:hAnsi="Times New Roman" w:cs="Times New Roman"/>
                    <w:sz w:val="24"/>
                  </w:rPr>
                  <w:t>24</w:t>
                </w:r>
              </w:p>
              <w:p>
                <w:pPr>
                  <w:spacing w:before="0" w:after="0" w:line="480" w:lineRule="exact"/>
                  <w:jc w:val="right"/>
                </w:pPr>
                <w:r>
                  <w:rPr>
                    <w:rFonts w:ascii="Times New Roman" w:hAnsi="Times New Roman" w:cs="Times New Roman"/>
                    <w:sz w:val="24"/>
                  </w:rPr>
                  <w:t>25</w:t>
                </w:r>
              </w:p>
              <w:p>
                <w:pPr>
                  <w:spacing w:before="0" w:after="0" w:line="480" w:lineRule="exact"/>
                  <w:jc w:val="right"/>
                </w:pPr>
                <w:r>
                  <w:rPr>
                    <w:rFonts w:ascii="Times New Roman" w:hAnsi="Times New Roman" w:cs="Times New Roman"/>
                    <w:sz w:val="24"/>
                  </w:rPr>
                  <w:t>26</w:t>
                </w:r>
              </w:p>
              <w:p>
                <w:pPr>
                  <w:spacing w:before="0" w:after="0" w:line="480" w:lineRule="exact"/>
                  <w:jc w:val="right"/>
                </w:pPr>
                <w:r>
                  <w:rPr>
                    <w:rFonts w:ascii="Times New Roman" w:hAnsi="Times New Roman" w:cs="Times New Roman"/>
                    <w:sz w:val="24"/>
                  </w:rPr>
                  <w:t>27</w:t>
                </w:r>
              </w:p>
              <w:p>
                <w:pPr>
                  <w:spacing w:before="0" w:after="0" w:line="480" w:lineRule="exact"/>
                  <w:jc w:val="right"/>
                </w:pPr>
                <w:r>
                  <w:rPr>
                    <w:rFonts w:ascii="Times New Roman" w:hAnsi="Times New Roman" w:cs="Times New Roman"/>
                    <w:sz w:val="24"/>
                  </w:rPr>
                  <w:t>28</w:t>
                </w:r>
              </w:p>
            </w:txbxContent>
          </v:textbox>
        </v:shape>
      </w:pic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tabs>
          <w:tab w:val="num" w:pos="1440"/>
        </w:tabs>
        <w:ind w:left="0" w:firstLine="72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tabs>
          <w:tab w:val="num" w:pos="1440"/>
        </w:tabs>
        <w:ind w:left="0" w:firstLine="72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5">
    <w:nsid w:val="A99205"/>
    <w:multiLevelType w:val="multilevel"/>
    <w:lvl w:ilvl="0">
      <w:start w:val="5"/>
      <w:numFmt w:val="decimal"/>
      <w:lvlText w:val="%1."/>
      <w:lvlJc w:val="left"/>
      <w:pPr>
        <w:tabs>
          <w:tab w:val="num" w:pos="1440"/>
        </w:tabs>
        <w:ind w:left="0" w:firstLine="72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abstractNum w:abstractNumId="99209">
    <w:nsid w:val="A99209"/>
    <w:multiLevelType w:val="multilevel"/>
    <w:lvl w:ilvl="0">
      <w:start w:val="9"/>
      <w:numFmt w:val="decimal"/>
      <w:lvlText w:val="%1."/>
      <w:lvlJc w:val="left"/>
      <w:pPr>
        <w:tabs>
          <w:tab w:val="num" w:pos="1440"/>
        </w:tabs>
        <w:ind w:left="0" w:firstLine="720"/>
      </w:pPr>
    </w:lvl>
    <w:lvl w:ilvl="1">
      <w:start w:val="9"/>
      <w:numFmt w:val="lowerLetter"/>
      <w:lvlText w:val="%2."/>
      <w:lvlJc w:val="left"/>
      <w:pPr>
        <w:ind w:left="1440" w:hanging="480"/>
      </w:pPr>
    </w:lvl>
    <w:lvl w:ilvl="2">
      <w:start w:val="9"/>
      <w:numFmt w:val="lowerRoman"/>
      <w:lvlText w:val="%3."/>
      <w:lvlJc w:val="left"/>
      <w:pPr>
        <w:ind w:left="2160" w:hanging="480"/>
      </w:pPr>
    </w:lvl>
    <w:lvl w:ilvl="3">
      <w:start w:val="9"/>
      <w:numFmt w:val="decimal"/>
      <w:lvlText w:val="%4."/>
      <w:lvlJc w:val="left"/>
      <w:pPr>
        <w:ind w:left="2880" w:hanging="480"/>
      </w:pPr>
    </w:lvl>
    <w:lvl w:ilvl="4">
      <w:start w:val="9"/>
      <w:numFmt w:val="lowerLetter"/>
      <w:lvlText w:val="%5."/>
      <w:lvlJc w:val="left"/>
      <w:pPr>
        <w:ind w:left="3600" w:hanging="480"/>
      </w:pPr>
    </w:lvl>
    <w:lvl w:ilvl="5">
      <w:start w:val="9"/>
      <w:numFmt w:val="lowerRoman"/>
      <w:lvlText w:val="%6."/>
      <w:lvlJc w:val="left"/>
      <w:pPr>
        <w:ind w:left="4320" w:hanging="480"/>
      </w:pPr>
    </w:lvl>
    <w:lvl w:ilvl="6">
      <w:start w:val="9"/>
      <w:numFmt w:val="decimal"/>
      <w:lvlText w:val="%7."/>
      <w:lvlJc w:val="left"/>
      <w:pPr>
        <w:ind w:left="5040" w:hanging="480"/>
      </w:pPr>
    </w:lvl>
    <w:lvl w:ilvl="7">
      <w:start w:val="9"/>
      <w:numFmt w:val="lowerLetter"/>
      <w:lvlText w:val="%8."/>
      <w:lvlJc w:val="left"/>
      <w:pPr>
        <w:ind w:left="5760" w:hanging="480"/>
      </w:pPr>
    </w:lvl>
    <w:lvl w:ilvl="8">
      <w:start w:val="9"/>
      <w:numFmt w:val="lowerRoman"/>
      <w:lvlText w:val="%9."/>
      <w:lvlJc w:val="left"/>
      <w:pPr>
        <w:ind w:left="6480" w:hanging="480"/>
      </w:pPr>
    </w:lvl>
  </w:abstractNum>
  <w:abstractNum w:abstractNumId="992012">
    <w:nsid w:val="A992012"/>
    <w:multiLevelType w:val="multilevel"/>
    <w:lvl w:ilvl="0">
      <w:start w:val="12"/>
      <w:numFmt w:val="decimal"/>
      <w:lvlText w:val="%1."/>
      <w:lvlJc w:val="left"/>
      <w:pPr>
        <w:tabs>
          <w:tab w:val="num" w:pos="1440"/>
        </w:tabs>
        <w:ind w:left="0" w:firstLine="720"/>
      </w:pPr>
    </w:lvl>
    <w:lvl w:ilvl="1">
      <w:start w:val="12"/>
      <w:numFmt w:val="lowerLetter"/>
      <w:lvlText w:val="%2."/>
      <w:lvlJc w:val="left"/>
      <w:pPr>
        <w:ind w:left="1440" w:hanging="480"/>
      </w:pPr>
    </w:lvl>
    <w:lvl w:ilvl="2">
      <w:start w:val="12"/>
      <w:numFmt w:val="lowerRoman"/>
      <w:lvlText w:val="%3."/>
      <w:lvlJc w:val="left"/>
      <w:pPr>
        <w:ind w:left="2160" w:hanging="480"/>
      </w:pPr>
    </w:lvl>
    <w:lvl w:ilvl="3">
      <w:start w:val="12"/>
      <w:numFmt w:val="decimal"/>
      <w:lvlText w:val="%4."/>
      <w:lvlJc w:val="left"/>
      <w:pPr>
        <w:ind w:left="2880" w:hanging="480"/>
      </w:pPr>
    </w:lvl>
    <w:lvl w:ilvl="4">
      <w:start w:val="12"/>
      <w:numFmt w:val="lowerLetter"/>
      <w:lvlText w:val="%5."/>
      <w:lvlJc w:val="left"/>
      <w:pPr>
        <w:ind w:left="3600" w:hanging="480"/>
      </w:pPr>
    </w:lvl>
    <w:lvl w:ilvl="5">
      <w:start w:val="12"/>
      <w:numFmt w:val="lowerRoman"/>
      <w:lvlText w:val="%6."/>
      <w:lvlJc w:val="left"/>
      <w:pPr>
        <w:ind w:left="4320" w:hanging="480"/>
      </w:pPr>
    </w:lvl>
    <w:lvl w:ilvl="6">
      <w:start w:val="12"/>
      <w:numFmt w:val="decimal"/>
      <w:lvlText w:val="%7."/>
      <w:lvlJc w:val="left"/>
      <w:pPr>
        <w:ind w:left="5040" w:hanging="480"/>
      </w:pPr>
    </w:lvl>
    <w:lvl w:ilvl="7">
      <w:start w:val="12"/>
      <w:numFmt w:val="lowerLetter"/>
      <w:lvlText w:val="%8."/>
      <w:lvlJc w:val="left"/>
      <w:pPr>
        <w:ind w:left="5760" w:hanging="480"/>
      </w:pPr>
    </w:lvl>
    <w:lvl w:ilvl="8">
      <w:start w:val="12"/>
      <w:numFmt w:val="lowerRoman"/>
      <w:lvlText w:val="%9."/>
      <w:lvlJc w:val="left"/>
      <w:pPr>
        <w:ind w:left="6480" w:hanging="480"/>
      </w:pPr>
    </w:lvl>
  </w:abstractNum>
  <w:abstractNum w:abstractNumId="992013">
    <w:nsid w:val="A992013"/>
    <w:multiLevelType w:val="multilevel"/>
    <w:lvl w:ilvl="0">
      <w:start w:val="13"/>
      <w:numFmt w:val="decimal"/>
      <w:lvlText w:val="%1."/>
      <w:lvlJc w:val="left"/>
      <w:pPr>
        <w:tabs>
          <w:tab w:val="num" w:pos="1440"/>
        </w:tabs>
        <w:ind w:left="0" w:firstLine="720"/>
      </w:pPr>
    </w:lvl>
    <w:lvl w:ilvl="1">
      <w:start w:val="13"/>
      <w:numFmt w:val="lowerLetter"/>
      <w:lvlText w:val="%2."/>
      <w:lvlJc w:val="left"/>
      <w:pPr>
        <w:ind w:left="1440" w:hanging="480"/>
      </w:pPr>
    </w:lvl>
    <w:lvl w:ilvl="2">
      <w:start w:val="13"/>
      <w:numFmt w:val="lowerRoman"/>
      <w:lvlText w:val="%3."/>
      <w:lvlJc w:val="left"/>
      <w:pPr>
        <w:ind w:left="2160" w:hanging="480"/>
      </w:pPr>
    </w:lvl>
    <w:lvl w:ilvl="3">
      <w:start w:val="13"/>
      <w:numFmt w:val="decimal"/>
      <w:lvlText w:val="%4."/>
      <w:lvlJc w:val="left"/>
      <w:pPr>
        <w:ind w:left="2880" w:hanging="480"/>
      </w:pPr>
    </w:lvl>
    <w:lvl w:ilvl="4">
      <w:start w:val="13"/>
      <w:numFmt w:val="lowerLetter"/>
      <w:lvlText w:val="%5."/>
      <w:lvlJc w:val="left"/>
      <w:pPr>
        <w:ind w:left="3600" w:hanging="480"/>
      </w:pPr>
    </w:lvl>
    <w:lvl w:ilvl="5">
      <w:start w:val="13"/>
      <w:numFmt w:val="lowerRoman"/>
      <w:lvlText w:val="%6."/>
      <w:lvlJc w:val="left"/>
      <w:pPr>
        <w:ind w:left="4320" w:hanging="480"/>
      </w:pPr>
    </w:lvl>
    <w:lvl w:ilvl="6">
      <w:start w:val="13"/>
      <w:numFmt w:val="decimal"/>
      <w:lvlText w:val="%7."/>
      <w:lvlJc w:val="left"/>
      <w:pPr>
        <w:ind w:left="5040" w:hanging="480"/>
      </w:pPr>
    </w:lvl>
    <w:lvl w:ilvl="7">
      <w:start w:val="13"/>
      <w:numFmt w:val="lowerLetter"/>
      <w:lvlText w:val="%8."/>
      <w:lvlJc w:val="left"/>
      <w:pPr>
        <w:ind w:left="5760" w:hanging="480"/>
      </w:pPr>
    </w:lvl>
    <w:lvl w:ilvl="8">
      <w:start w:val="13"/>
      <w:numFmt w:val="lowerRoman"/>
      <w:lvlText w:val="%9."/>
      <w:lvlJc w:val="left"/>
      <w:pPr>
        <w:ind w:left="6480" w:hanging="480"/>
      </w:pPr>
    </w:lvl>
  </w:abstractNum>
  <w:abstractNum w:abstractNumId="992016">
    <w:nsid w:val="A992016"/>
    <w:multiLevelType w:val="multilevel"/>
    <w:lvl w:ilvl="0">
      <w:start w:val="16"/>
      <w:numFmt w:val="decimal"/>
      <w:lvlText w:val="%1."/>
      <w:lvlJc w:val="left"/>
      <w:pPr>
        <w:tabs>
          <w:tab w:val="num" w:pos="1440"/>
        </w:tabs>
        <w:ind w:left="0" w:firstLine="720"/>
      </w:pPr>
    </w:lvl>
    <w:lvl w:ilvl="1">
      <w:start w:val="16"/>
      <w:numFmt w:val="lowerLetter"/>
      <w:lvlText w:val="%2."/>
      <w:lvlJc w:val="left"/>
      <w:pPr>
        <w:ind w:left="1440" w:hanging="480"/>
      </w:pPr>
    </w:lvl>
    <w:lvl w:ilvl="2">
      <w:start w:val="16"/>
      <w:numFmt w:val="lowerRoman"/>
      <w:lvlText w:val="%3."/>
      <w:lvlJc w:val="left"/>
      <w:pPr>
        <w:ind w:left="2160" w:hanging="480"/>
      </w:pPr>
    </w:lvl>
    <w:lvl w:ilvl="3">
      <w:start w:val="16"/>
      <w:numFmt w:val="decimal"/>
      <w:lvlText w:val="%4."/>
      <w:lvlJc w:val="left"/>
      <w:pPr>
        <w:ind w:left="2880" w:hanging="480"/>
      </w:pPr>
    </w:lvl>
    <w:lvl w:ilvl="4">
      <w:start w:val="16"/>
      <w:numFmt w:val="lowerLetter"/>
      <w:lvlText w:val="%5."/>
      <w:lvlJc w:val="left"/>
      <w:pPr>
        <w:ind w:left="3600" w:hanging="480"/>
      </w:pPr>
    </w:lvl>
    <w:lvl w:ilvl="5">
      <w:start w:val="16"/>
      <w:numFmt w:val="lowerRoman"/>
      <w:lvlText w:val="%6."/>
      <w:lvlJc w:val="left"/>
      <w:pPr>
        <w:ind w:left="4320" w:hanging="480"/>
      </w:pPr>
    </w:lvl>
    <w:lvl w:ilvl="6">
      <w:start w:val="16"/>
      <w:numFmt w:val="decimal"/>
      <w:lvlText w:val="%7."/>
      <w:lvlJc w:val="left"/>
      <w:pPr>
        <w:ind w:left="5040" w:hanging="480"/>
      </w:pPr>
    </w:lvl>
    <w:lvl w:ilvl="7">
      <w:start w:val="16"/>
      <w:numFmt w:val="lowerLetter"/>
      <w:lvlText w:val="%8."/>
      <w:lvlJc w:val="left"/>
      <w:pPr>
        <w:ind w:left="5760" w:hanging="480"/>
      </w:pPr>
    </w:lvl>
    <w:lvl w:ilvl="8">
      <w:start w:val="16"/>
      <w:numFmt w:val="lowerRoman"/>
      <w:lvlText w:val="%9."/>
      <w:lvlJc w:val="left"/>
      <w:pPr>
        <w:ind w:left="6480" w:hanging="480"/>
      </w:pPr>
    </w:lvl>
  </w:abstractNum>
  <w:abstractNum w:abstractNumId="992017">
    <w:nsid w:val="A992017"/>
    <w:multiLevelType w:val="multilevel"/>
    <w:lvl w:ilvl="0">
      <w:start w:val="17"/>
      <w:numFmt w:val="decimal"/>
      <w:lvlText w:val="%1."/>
      <w:lvlJc w:val="left"/>
      <w:pPr>
        <w:tabs>
          <w:tab w:val="num" w:pos="1440"/>
        </w:tabs>
        <w:ind w:left="0" w:firstLine="720"/>
      </w:pPr>
    </w:lvl>
    <w:lvl w:ilvl="1">
      <w:start w:val="17"/>
      <w:numFmt w:val="lowerLetter"/>
      <w:lvlText w:val="%2."/>
      <w:lvlJc w:val="left"/>
      <w:pPr>
        <w:ind w:left="1440" w:hanging="480"/>
      </w:pPr>
    </w:lvl>
    <w:lvl w:ilvl="2">
      <w:start w:val="17"/>
      <w:numFmt w:val="lowerRoman"/>
      <w:lvlText w:val="%3."/>
      <w:lvlJc w:val="left"/>
      <w:pPr>
        <w:ind w:left="2160" w:hanging="480"/>
      </w:pPr>
    </w:lvl>
    <w:lvl w:ilvl="3">
      <w:start w:val="17"/>
      <w:numFmt w:val="decimal"/>
      <w:lvlText w:val="%4."/>
      <w:lvlJc w:val="left"/>
      <w:pPr>
        <w:ind w:left="2880" w:hanging="480"/>
      </w:pPr>
    </w:lvl>
    <w:lvl w:ilvl="4">
      <w:start w:val="17"/>
      <w:numFmt w:val="lowerLetter"/>
      <w:lvlText w:val="%5."/>
      <w:lvlJc w:val="left"/>
      <w:pPr>
        <w:ind w:left="3600" w:hanging="480"/>
      </w:pPr>
    </w:lvl>
    <w:lvl w:ilvl="5">
      <w:start w:val="17"/>
      <w:numFmt w:val="lowerRoman"/>
      <w:lvlText w:val="%6."/>
      <w:lvlJc w:val="left"/>
      <w:pPr>
        <w:ind w:left="4320" w:hanging="480"/>
      </w:pPr>
    </w:lvl>
    <w:lvl w:ilvl="6">
      <w:start w:val="17"/>
      <w:numFmt w:val="decimal"/>
      <w:lvlText w:val="%7."/>
      <w:lvlJc w:val="left"/>
      <w:pPr>
        <w:ind w:left="5040" w:hanging="480"/>
      </w:pPr>
    </w:lvl>
    <w:lvl w:ilvl="7">
      <w:start w:val="17"/>
      <w:numFmt w:val="lowerLetter"/>
      <w:lvlText w:val="%8."/>
      <w:lvlJc w:val="left"/>
      <w:pPr>
        <w:ind w:left="5760" w:hanging="480"/>
      </w:pPr>
    </w:lvl>
    <w:lvl w:ilvl="8">
      <w:start w:val="17"/>
      <w:numFmt w:val="lowerRoman"/>
      <w:lvlText w:val="%9."/>
      <w:lvlJc w:val="left"/>
      <w:pPr>
        <w:ind w:left="6480" w:hanging="480"/>
      </w:pPr>
    </w:lvl>
  </w:abstractNum>
  <w:abstractNum w:abstractNumId="992018">
    <w:nsid w:val="A992018"/>
    <w:multiLevelType w:val="multilevel"/>
    <w:lvl w:ilvl="0">
      <w:start w:val="18"/>
      <w:numFmt w:val="decimal"/>
      <w:lvlText w:val="%1."/>
      <w:lvlJc w:val="left"/>
      <w:pPr>
        <w:tabs>
          <w:tab w:val="num" w:pos="1440"/>
        </w:tabs>
        <w:ind w:left="0" w:firstLine="720"/>
      </w:pPr>
    </w:lvl>
    <w:lvl w:ilvl="1">
      <w:start w:val="18"/>
      <w:numFmt w:val="lowerLetter"/>
      <w:lvlText w:val="%2."/>
      <w:lvlJc w:val="left"/>
      <w:pPr>
        <w:ind w:left="1440" w:hanging="480"/>
      </w:pPr>
    </w:lvl>
    <w:lvl w:ilvl="2">
      <w:start w:val="18"/>
      <w:numFmt w:val="lowerRoman"/>
      <w:lvlText w:val="%3."/>
      <w:lvlJc w:val="left"/>
      <w:pPr>
        <w:ind w:left="2160" w:hanging="480"/>
      </w:pPr>
    </w:lvl>
    <w:lvl w:ilvl="3">
      <w:start w:val="18"/>
      <w:numFmt w:val="decimal"/>
      <w:lvlText w:val="%4."/>
      <w:lvlJc w:val="left"/>
      <w:pPr>
        <w:ind w:left="2880" w:hanging="480"/>
      </w:pPr>
    </w:lvl>
    <w:lvl w:ilvl="4">
      <w:start w:val="18"/>
      <w:numFmt w:val="lowerLetter"/>
      <w:lvlText w:val="%5."/>
      <w:lvlJc w:val="left"/>
      <w:pPr>
        <w:ind w:left="3600" w:hanging="480"/>
      </w:pPr>
    </w:lvl>
    <w:lvl w:ilvl="5">
      <w:start w:val="18"/>
      <w:numFmt w:val="lowerRoman"/>
      <w:lvlText w:val="%6."/>
      <w:lvlJc w:val="left"/>
      <w:pPr>
        <w:ind w:left="4320" w:hanging="480"/>
      </w:pPr>
    </w:lvl>
    <w:lvl w:ilvl="6">
      <w:start w:val="18"/>
      <w:numFmt w:val="decimal"/>
      <w:lvlText w:val="%7."/>
      <w:lvlJc w:val="left"/>
      <w:pPr>
        <w:ind w:left="5040" w:hanging="480"/>
      </w:pPr>
    </w:lvl>
    <w:lvl w:ilvl="7">
      <w:start w:val="18"/>
      <w:numFmt w:val="lowerLetter"/>
      <w:lvlText w:val="%8."/>
      <w:lvlJc w:val="left"/>
      <w:pPr>
        <w:ind w:left="5760" w:hanging="480"/>
      </w:pPr>
    </w:lvl>
    <w:lvl w:ilvl="8">
      <w:start w:val="18"/>
      <w:numFmt w:val="lowerRoman"/>
      <w:lvlText w:val="%9."/>
      <w:lvlJc w:val="left"/>
      <w:pPr>
        <w:ind w:left="6480" w:hanging="480"/>
      </w:pPr>
    </w:lvl>
  </w:abstractNum>
  <w:abstractNum w:abstractNumId="992019">
    <w:nsid w:val="A992019"/>
    <w:multiLevelType w:val="multilevel"/>
    <w:lvl w:ilvl="0">
      <w:start w:val="19"/>
      <w:numFmt w:val="decimal"/>
      <w:lvlText w:val="%1."/>
      <w:lvlJc w:val="left"/>
      <w:pPr>
        <w:tabs>
          <w:tab w:val="num" w:pos="1440"/>
        </w:tabs>
        <w:ind w:left="0" w:firstLine="720"/>
      </w:pPr>
    </w:lvl>
    <w:lvl w:ilvl="1">
      <w:start w:val="19"/>
      <w:numFmt w:val="lowerLetter"/>
      <w:lvlText w:val="%2."/>
      <w:lvlJc w:val="left"/>
      <w:pPr>
        <w:ind w:left="1440" w:hanging="480"/>
      </w:pPr>
    </w:lvl>
    <w:lvl w:ilvl="2">
      <w:start w:val="19"/>
      <w:numFmt w:val="lowerRoman"/>
      <w:lvlText w:val="%3."/>
      <w:lvlJc w:val="left"/>
      <w:pPr>
        <w:ind w:left="2160" w:hanging="480"/>
      </w:pPr>
    </w:lvl>
    <w:lvl w:ilvl="3">
      <w:start w:val="19"/>
      <w:numFmt w:val="decimal"/>
      <w:lvlText w:val="%4."/>
      <w:lvlJc w:val="left"/>
      <w:pPr>
        <w:ind w:left="2880" w:hanging="480"/>
      </w:pPr>
    </w:lvl>
    <w:lvl w:ilvl="4">
      <w:start w:val="19"/>
      <w:numFmt w:val="lowerLetter"/>
      <w:lvlText w:val="%5."/>
      <w:lvlJc w:val="left"/>
      <w:pPr>
        <w:ind w:left="3600" w:hanging="480"/>
      </w:pPr>
    </w:lvl>
    <w:lvl w:ilvl="5">
      <w:start w:val="19"/>
      <w:numFmt w:val="lowerRoman"/>
      <w:lvlText w:val="%6."/>
      <w:lvlJc w:val="left"/>
      <w:pPr>
        <w:ind w:left="4320" w:hanging="480"/>
      </w:pPr>
    </w:lvl>
    <w:lvl w:ilvl="6">
      <w:start w:val="19"/>
      <w:numFmt w:val="decimal"/>
      <w:lvlText w:val="%7."/>
      <w:lvlJc w:val="left"/>
      <w:pPr>
        <w:ind w:left="5040" w:hanging="480"/>
      </w:pPr>
    </w:lvl>
    <w:lvl w:ilvl="7">
      <w:start w:val="19"/>
      <w:numFmt w:val="lowerLetter"/>
      <w:lvlText w:val="%8."/>
      <w:lvlJc w:val="left"/>
      <w:pPr>
        <w:ind w:left="5760" w:hanging="480"/>
      </w:pPr>
    </w:lvl>
    <w:lvl w:ilvl="8">
      <w:start w:val="19"/>
      <w:numFmt w:val="lowerRoman"/>
      <w:lvlText w:val="%9."/>
      <w:lvlJc w:val="left"/>
      <w:pPr>
        <w:ind w:left="6480" w:hanging="480"/>
      </w:pPr>
    </w:lvl>
  </w:abstractNum>
  <w:abstractNum w:abstractNumId="992020">
    <w:nsid w:val="A992020"/>
    <w:multiLevelType w:val="multilevel"/>
    <w:lvl w:ilvl="0">
      <w:start w:val="20"/>
      <w:numFmt w:val="decimal"/>
      <w:lvlText w:val="%1."/>
      <w:lvlJc w:val="left"/>
      <w:pPr>
        <w:tabs>
          <w:tab w:val="num" w:pos="1440"/>
        </w:tabs>
        <w:ind w:left="0" w:firstLine="720"/>
      </w:pPr>
    </w:lvl>
    <w:lvl w:ilvl="1">
      <w:start w:val="20"/>
      <w:numFmt w:val="lowerLetter"/>
      <w:lvlText w:val="%2."/>
      <w:lvlJc w:val="left"/>
      <w:pPr>
        <w:ind w:left="1440" w:hanging="480"/>
      </w:pPr>
    </w:lvl>
    <w:lvl w:ilvl="2">
      <w:start w:val="20"/>
      <w:numFmt w:val="lowerRoman"/>
      <w:lvlText w:val="%3."/>
      <w:lvlJc w:val="left"/>
      <w:pPr>
        <w:ind w:left="2160" w:hanging="480"/>
      </w:pPr>
    </w:lvl>
    <w:lvl w:ilvl="3">
      <w:start w:val="20"/>
      <w:numFmt w:val="decimal"/>
      <w:lvlText w:val="%4."/>
      <w:lvlJc w:val="left"/>
      <w:pPr>
        <w:ind w:left="2880" w:hanging="480"/>
      </w:pPr>
    </w:lvl>
    <w:lvl w:ilvl="4">
      <w:start w:val="20"/>
      <w:numFmt w:val="lowerLetter"/>
      <w:lvlText w:val="%5."/>
      <w:lvlJc w:val="left"/>
      <w:pPr>
        <w:ind w:left="3600" w:hanging="480"/>
      </w:pPr>
    </w:lvl>
    <w:lvl w:ilvl="5">
      <w:start w:val="20"/>
      <w:numFmt w:val="lowerRoman"/>
      <w:lvlText w:val="%6."/>
      <w:lvlJc w:val="left"/>
      <w:pPr>
        <w:ind w:left="4320" w:hanging="480"/>
      </w:pPr>
    </w:lvl>
    <w:lvl w:ilvl="6">
      <w:start w:val="20"/>
      <w:numFmt w:val="decimal"/>
      <w:lvlText w:val="%7."/>
      <w:lvlJc w:val="left"/>
      <w:pPr>
        <w:ind w:left="5040" w:hanging="480"/>
      </w:pPr>
    </w:lvl>
    <w:lvl w:ilvl="7">
      <w:start w:val="20"/>
      <w:numFmt w:val="lowerLetter"/>
      <w:lvlText w:val="%8."/>
      <w:lvlJc w:val="left"/>
      <w:pPr>
        <w:ind w:left="5760" w:hanging="480"/>
      </w:pPr>
    </w:lvl>
    <w:lvl w:ilvl="8">
      <w:start w:val="20"/>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2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5">
    <w:abstractNumId w:val="9920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6">
    <w:abstractNumId w:val="9920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7">
    <w:abstractNumId w:val="9920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8">
    <w:abstractNumId w:val="9920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9">
    <w:abstractNumId w:val="9920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0">
    <w:abstractNumId w:val="9920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11">
    <w:abstractNumId w:val="9920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Times New Roman" w:cs="Times New Roman" w:eastAsia="Times New Roman" w:hAnsi="Times New Roman"/>
      <w:color w:val="000000"/>
      <w:sz w:val="24"/>
    </w:rPr>
  </w:style>
  <w:style w:styleId="BodyText" w:type="paragraph">
    <w:name w:val="Body Text"/>
    <w:basedOn w:val="Normal"/>
    <w:link w:val="BodyTextChar"/>
    <w:pPr>
      <w:spacing w:after="0" w:before="0" w:line="240" w:lineRule="auto"/>
    </w:pPr>
    <w:qFormat/>
    <w:rPr>
      <w:rFonts w:ascii="Times New Roman" w:cs="Times New Roman" w:eastAsia="Times New Roman" w:hAnsi="Times New Roman"/>
      <w:color w:val="000000"/>
      <w:sz w:val="24"/>
    </w:rPr>
  </w:style>
  <w:style w:customStyle="1" w:styleId="FirstParagraph" w:type="paragraph">
    <w:name w:val="First Paragraph"/>
    <w:basedOn w:val="BodyText"/>
    <w:next w:val="BodyText"/>
    <w:qFormat/>
    <w:pPr>
      <w:spacing w:after="0" w:before="0" w:line="240" w:lineRule="auto"/>
    </w:pPr>
    <w:rPr>
      <w:rFonts w:ascii="Times New Roman" w:cs="Times New Roman" w:eastAsia="Times New Roman" w:hAnsi="Times New Roman"/>
      <w:color w:val="000000"/>
      <w:sz w:val="24"/>
    </w:rPr>
  </w:style>
  <w:style w:customStyle="1" w:styleId="Compact" w:type="paragraph">
    <w:name w:val="Compact"/>
    <w:basedOn w:val="BodyText"/>
    <w:qFormat/>
    <w:pPr>
      <w:spacing w:after="0" w:before="0" w:line="240" w:lineRule="auto"/>
    </w:pPr>
    <w:rPr>
      <w:rFonts w:ascii="Times New Roman" w:cs="Times New Roman" w:eastAsia="Times New Roman" w:hAnsi="Times New Roman"/>
      <w:color w:val="000000"/>
      <w:sz w:val="24"/>
    </w:rPr>
  </w:style>
  <w:style w:styleId="Title" w:type="paragraph">
    <w:name w:val="Title"/>
    <w:basedOn w:val="Normal"/>
    <w:next w:val="BodyText"/>
    <w:qFormat/>
    <w:pPr>
      <w:keepNext/>
      <w:keepLines/>
      <w:spacing w:after="160" w:before="480"/>
      <w:jc w:val="left"/>
    </w:pPr>
    <w:rPr>
      <w:rFonts w:ascii="Times New Roman" w:cs="Times New Roman" w:eastAsia="Times New Roman" w:hAnsi="Times New Roman"/>
      <w:b/>
      <w:bCs/>
      <w:color w:val="1A2B3C"/>
      <w:sz w:val="40"/>
      <w:szCs w:val="36"/>
    </w:rPr>
  </w:style>
  <w:style w:styleId="Subtitle" w:type="paragraph">
    <w:name w:val="Subtitle"/>
    <w:basedOn w:val="Title"/>
    <w:next w:val="BodyText"/>
    <w:qFormat/>
    <w:pPr>
      <w:keepNext/>
      <w:keepLines/>
      <w:spacing w:after="160" w:before="240"/>
      <w:jc w:val="left"/>
    </w:pPr>
    <w:rPr>
      <w:rFonts w:ascii="Times New Roman" w:cs="Times New Roman" w:eastAsia="Times New Roman" w:hAnsi="Times New Roman"/>
      <w:color w:val="1A2B3C"/>
      <w:sz w:val="22"/>
      <w:szCs w:val="30"/>
    </w:rPr>
  </w:style>
  <w:style w:customStyle="1" w:styleId="Author" w:type="paragraph">
    <w:name w:val="Author"/>
    <w:next w:val="BodyText"/>
    <w:qFormat/>
    <w:pPr>
      <w:keepNext/>
      <w:keepLines/>
      <w:jc w:val="center"/>
    </w:pPr>
    <w:rPr>
      <w:rFonts w:ascii="Times New Roman" w:cs="Times New Roman" w:eastAsia="Times New Roman" w:hAnsi="Times New Roman"/>
      <w:color w:val="000000"/>
    </w:rPr>
  </w:style>
  <w:style w:styleId="Date" w:type="paragraph">
    <w:name w:val="Date"/>
    <w:next w:val="BodyText"/>
    <w:qFormat/>
    <w:pPr>
      <w:keepNext/>
      <w:keepLines/>
      <w:jc w:val="center"/>
    </w:pPr>
    <w:rPr>
      <w:rFonts w:ascii="Times New Roman" w:cs="Times New Roman" w:eastAsia="Times New Roman" w:hAnsi="Times New Roman"/>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Times New Roman" w:cs="Times New Roman" w:eastAsia="Times New Roman" w:hAnsi="Times New Roman"/>
      <w:b/>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color w:val="000000"/>
      <w:sz w:val="20"/>
      <w:szCs w:val="20"/>
    </w:rPr>
  </w:style>
  <w:style w:styleId="Bibliography" w:type="paragraph">
    <w:name w:val="Bibliography"/>
    <w:basedOn w:val="Normal"/>
    <w:next w:val="Bibliography"/>
    <w:qFormat/>
    <w:pPr/>
    <w:rPr>
      <w:rFonts w:ascii="Times New Roman" w:cs="Times New Roman" w:eastAsia="Times New Roman" w:hAnsi="Times New Roman"/>
      <w:color w:val="000000"/>
    </w:rPr>
  </w:style>
  <w:style w:styleId="Heading1" w:type="paragraph">
    <w:name w:val="Heading 1"/>
    <w:basedOn w:val="Normal"/>
    <w:next w:val="BodyText"/>
    <w:uiPriority w:val="9"/>
    <w:qFormat/>
    <w:pPr>
      <w:keepNext/>
      <w:keepLines/>
      <w:spacing w:after="120" w:before="280"/>
      <w:outlineLvl w:val="0"/>
    </w:pPr>
    <w:rPr>
      <w:rFonts w:ascii="Times New Roman" w:cs="Times New Roman" w:eastAsia="Times New Roman" w:hAnsi="Times New Roman"/>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Times New Roman" w:cs="Times New Roman" w:eastAsia="Times New Roman" w:hAnsi="Times New Roman"/>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Times New Roman" w:cs="Times New Roman" w:eastAsia="Times New Roman" w:hAnsi="Times New Roman"/>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Times New Roman" w:cs="Times New Roman" w:eastAsia="Times New Roman" w:hAnsi="Times New Roman"/>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Times New Roman" w:cs="Times New Roman" w:eastAsia="Times New Roman" w:hAnsi="Times New Roman"/>
      <w:color w:val="000000"/>
      <w:sz w:val="24"/>
    </w:rPr>
  </w:style>
  <w:style w:styleId="FootnoteText" w:type="paragraph">
    <w:name w:val="Footnote Text"/>
    <w:basedOn w:val="Normal"/>
    <w:next w:val="FootnoteText"/>
    <w:uiPriority w:val="9"/>
    <w:unhideWhenUsed/>
    <w:qFormat/>
    <w:rPr>
      <w:rFonts w:ascii="Times New Roman" w:cs="Times New Roman" w:eastAsia="Times New Roman" w:hAnsi="Times New Roman"/>
      <w:color w:val="000000"/>
    </w:rPr>
  </w:style>
  <w:style w:default="1" w:styleId="DefaultParagraphFont" w:type="character">
    <w:name w:val="Default Paragraph Font"/>
    <w:semiHidden/>
    <w:unhideWhenUsed/>
    <w:rPr>
      <w:rFonts w:ascii="Times New Roman" w:cs="Times New Roman" w:eastAsia="Times New Roman" w:hAnsi="Times New Roman"/>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color w:val="000000"/>
    </w:rPr>
  </w:style>
  <w:style w:customStyle="1" w:styleId="Definition" w:type="paragraph">
    <w:name w:val="Definition"/>
    <w:basedOn w:val="Normal"/>
    <w:rPr>
      <w:rFonts w:ascii="Times New Roman" w:cs="Times New Roman" w:eastAsia="Times New Roman" w:hAnsi="Times New Roman"/>
      <w:color w:val="000000"/>
    </w:rPr>
  </w:style>
  <w:style w:styleId="Caption" w:type="paragraph">
    <w:name w:val="Caption"/>
    <w:basedOn w:val="Normal"/>
    <w:link w:val="BodyTextChar"/>
    <w:pPr>
      <w:spacing w:after="120" w:before="0"/>
    </w:pPr>
    <w:rPr>
      <w:rFonts w:ascii="Times New Roman" w:cs="Times New Roman" w:eastAsia="Times New Roman" w:hAnsi="Times New Roman"/>
      <w:i/>
      <w:color w:val="000000"/>
    </w:rPr>
  </w:style>
  <w:style w:customStyle="1" w:styleId="TableCaption" w:type="paragraph">
    <w:name w:val="Table Caption"/>
    <w:basedOn w:val="Caption"/>
    <w:pPr>
      <w:keepNext/>
    </w:pPr>
    <w:rPr>
      <w:rFonts w:ascii="Times New Roman" w:cs="Times New Roman" w:eastAsia="Times New Roman" w:hAnsi="Times New Roman"/>
      <w:color w:val="000000"/>
    </w:rPr>
  </w:style>
  <w:style w:customStyle="1" w:styleId="ImageCaption" w:type="paragraph">
    <w:name w:val="Image Caption"/>
    <w:basedOn w:val="Caption"/>
    <w:rPr>
      <w:rFonts w:ascii="Times New Roman" w:cs="Times New Roman" w:eastAsia="Times New Roman" w:hAnsi="Times New Roman"/>
      <w:color w:val="000000"/>
    </w:rPr>
  </w:style>
  <w:style w:customStyle="1" w:styleId="Figure" w:type="paragraph">
    <w:name w:val="Figure"/>
    <w:basedOn w:val="Normal"/>
    <w:rPr>
      <w:rFonts w:ascii="Times New Roman" w:cs="Times New Roman" w:eastAsia="Times New Roman" w:hAnsi="Times New Roman"/>
      <w:color w:val="000000"/>
    </w:rPr>
  </w:style>
  <w:style w:customStyle="1" w:styleId="CaptionedFigure" w:type="paragraph">
    <w:name w:val="Captioned Figure"/>
    <w:basedOn w:val="Figure"/>
    <w:pPr>
      <w:keepNext/>
    </w:pPr>
    <w:rPr>
      <w:rFonts w:ascii="Times New Roman" w:cs="Times New Roman" w:eastAsia="Times New Roman" w:hAnsi="Times New Roman"/>
      <w:color w:val="000000"/>
    </w:rPr>
  </w:style>
  <w:style w:customStyle="1" w:styleId="BodyTextChar" w:type="character">
    <w:name w:val="Body Text Char"/>
    <w:basedOn w:val="DefaultParagraphFont"/>
    <w:link w:val="BodyText"/>
    <w:rPr>
      <w:rFonts w:ascii="Times New Roman" w:cs="Times New Roman" w:eastAsia="Times New Roman" w:hAnsi="Times New Roman"/>
      <w:color w:val="000000"/>
    </w:rPr>
  </w:style>
  <w:style w:customStyle="1" w:styleId="VerbatimChar" w:type="character">
    <w:name w:val="Verbatim Char"/>
    <w:basedOn w:val="BodyTextChar"/>
    <w:rPr>
      <w:rFonts w:ascii="Times New Roman" w:cs="Times New Roman" w:eastAsia="Times New Roman" w:hAnsi="Times New Roman"/>
      <w:color w:val="000000"/>
      <w:sz w:val="22"/>
    </w:rPr>
  </w:style>
  <w:style w:customStyle="1" w:styleId="SectionNumber" w:type="character">
    <w:name w:val="Section Number"/>
    <w:basedOn w:val="BodyTextChar"/>
    <w:rPr>
      <w:rFonts w:ascii="Times New Roman" w:cs="Times New Roman" w:eastAsia="Times New Roman" w:hAnsi="Times New Roman"/>
      <w:color w:val="000000"/>
    </w:rPr>
  </w:style>
  <w:style w:styleId="FootnoteReference" w:type="character">
    <w:name w:val="Footnote Reference"/>
    <w:basedOn w:val="BodyTextChar"/>
    <w:rPr>
      <w:rFonts w:ascii="Times New Roman" w:cs="Times New Roman" w:eastAsia="Times New Roman" w:hAnsi="Times New Roman"/>
      <w:color w:val="000000"/>
      <w:vertAlign w:val="superscript"/>
    </w:rPr>
  </w:style>
  <w:style w:styleId="Hyperlink" w:type="character">
    <w:name w:val="Hyperlink"/>
    <w:basedOn w:val="BodyTextChar"/>
    <w:rPr>
      <w:rFonts w:ascii="Times New Roman" w:cs="Times New Roman" w:eastAsia="Times New Roman" w:hAnsi="Times New Roman"/>
      <w:color w:val="1F6E6E"/>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2" Type="http://schemas.openxmlformats.org/officeDocument/2006/relationships/hyperlink" Target="https://nhilaw.com/forms/f3-2.html" TargetMode="External"/><Relationship Id="rId21" Type="http://schemas.openxmlformats.org/officeDocument/2006/relationships/hyperlink" Target="https://nhilaw.com/issues/a5.html" TargetMode="External"/><Relationship Id="rId20" Type="http://schemas.openxmlformats.org/officeDocument/2006/relationships/hyperlink" Target="https://nhilaw.com/issues/f3.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2" Type="http://schemas.openxmlformats.org/officeDocument/2006/relationships/hyperlink" Target="https://nhilaw.com/forms/f3-2.html" TargetMode="External"/><Relationship Id="rId21" Type="http://schemas.openxmlformats.org/officeDocument/2006/relationships/hyperlink" Target="https://nhilaw.com/issues/a5.html" TargetMode="External"/><Relationship Id="rId20" Type="http://schemas.openxmlformats.org/officeDocument/2006/relationships/hyperlink" Target="https://nhilaw.com/issues/f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F3-1. Complaint for Declaratory and Injunctive Relief: Pre-Enforcement First Amendment Challenge to a Restriction on Communicating with Non-Human Intelligence</dc:title>
  <dc:creator>nhilaw.com</dc:creator>
  <cp:keywords/>
  <dcterms:created xsi:type="dcterms:W3CDTF">2026-10-19T03:14:59Z</dcterms:created>
  <dcterms:modified xsi:type="dcterms:W3CDTF">2026-10-19T03:14:59Z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