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03bf47e9500d9e0fc5146b8014e41a7257218d4"/>
    <w:p>
      <w:pPr>
        <w:pStyle w:val="Heading1"/>
      </w:pPr>
      <w:r>
        <w:t xml:space="preserve">Form F3-2. Compliance Protocol for Researchers and Individuals Communicating, or Attempting to Communicate, with Non-Human Intelligence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https://nhilaw.com/forms/f3-2.html</w:t>
      </w:r>
    </w:p>
    <w:p>
      <w:pPr>
        <w:pStyle w:val="BodyText"/>
        <w:spacing w:after="160" w:line="259" w:lineRule="auto"/>
      </w:pPr>
      <w:r>
        <w:rPr>
          <w:bCs/>
          <w:b/>
        </w:rPr>
        <w:t xml:space="preserve">Use.</w:t>
      </w:r>
      <w:r>
        <w:t xml:space="preserve"> </w:t>
      </w:r>
      <w:r>
        <w:t xml:space="preserve">Speaking to and receiving information from NHI is protected expression under current law</w:t>
      </w:r>
      <w:r>
        <w:t xml:space="preserve"> </w:t>
      </w:r>
      <w:r>
        <w:t xml:space="preserve">(</w:t>
      </w:r>
      <w:hyperlink r:id="rId20">
        <w:r>
          <w:rPr>
            <w:rStyle w:val="Hyperlink"/>
          </w:rPr>
          <w:t xml:space="preserve">Issue F3</w:t>
        </w:r>
      </w:hyperlink>
      <w:r>
        <w:t xml:space="preserve">). The legal risks lie in four narrower areas: radio licensing, export controls on technical</w:t>
      </w:r>
      <w:r>
        <w:t xml:space="preserve"> </w:t>
      </w:r>
      <w:r>
        <w:t xml:space="preserve">data, coordination with any designated hostile entity, and handling of information that may be</w:t>
      </w:r>
      <w:r>
        <w:t xml:space="preserve"> </w:t>
      </w:r>
      <w:r>
        <w:t xml:space="preserve">classified. This protocol addresses each and creates a record that the participants acted lawfully.</w:t>
      </w:r>
    </w:p>
    <w:p>
      <w:pPr>
        <w:pStyle w:val="BodyText"/>
        <w:spacing w:after="160" w:line="259" w:lineRule="auto"/>
      </w:pPr>
      <w:r>
        <w:rPr>
          <w:bCs/>
          <w:b/>
        </w:rPr>
        <w:t xml:space="preserve">When to use.</w:t>
      </w:r>
      <w:r>
        <w:t xml:space="preserve"> </w:t>
      </w:r>
      <w:r>
        <w:t xml:space="preserve">A research group or individual planning transmissions to, or reporting communications with, NHI.</w:t>
      </w:r>
      <w:r>
        <w:t xml:space="preserve"> </w:t>
      </w:r>
      <w:r>
        <w:rPr>
          <w:bCs/>
          <w:b/>
        </w:rPr>
        <w:t xml:space="preserve">Not for:</w:t>
      </w:r>
      <w:r>
        <w:t xml:space="preserve"> </w:t>
      </w:r>
      <w:r>
        <w:t xml:space="preserve">Classified government programs.</w:t>
      </w:r>
    </w:p>
    <w:p>
      <w:pPr>
        <w:pStyle w:val="BodyText"/>
        <w:spacing w:after="160" w:line="259" w:lineRule="auto"/>
      </w:pPr>
      <w:r>
        <w:rPr>
          <w:bCs/>
          <w:b/>
        </w:rPr>
        <w:t xml:space="preserve">Deadlines.</w:t>
      </w:r>
      <w:r>
        <w:t xml:space="preserve"> </w:t>
      </w:r>
      <w:r>
        <w:t xml:space="preserve">Adopt before the first transmission.</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[ORGANIZATION] PROTOCOL FOR COMMUNICATION ACTIVITIES</w:t>
      </w:r>
    </w:p>
    <w:p>
      <w:pPr>
        <w:pStyle w:val="BodyText"/>
      </w:pPr>
      <w:r>
        <w:rPr>
          <w:bCs/>
          <w:b/>
        </w:rPr>
        <w:t xml:space="preserve">1. Scope.</w:t>
      </w:r>
      <w:r>
        <w:t xml:space="preserve"> </w:t>
      </w:r>
      <w:r>
        <w:t xml:space="preserve">This Protocol applies to every person who, on behalf of [Organization], (a) transmits or</w:t>
      </w:r>
      <w:r>
        <w:t xml:space="preserve"> </w:t>
      </w:r>
      <w:r>
        <w:t xml:space="preserve">prepares any message intended for NHI; (b) receives, records, or analyzes any signal or communication</w:t>
      </w:r>
      <w:r>
        <w:t xml:space="preserve"> </w:t>
      </w:r>
      <w:r>
        <w:t xml:space="preserve">believed to come from NHI; or (c) publishes or shares the content of any such communication.</w:t>
      </w:r>
    </w:p>
    <w:p>
      <w:pPr>
        <w:pStyle w:val="BodyText"/>
      </w:pPr>
      <w:r>
        <w:rPr>
          <w:bCs/>
          <w:b/>
        </w:rPr>
        <w:t xml:space="preserve">2. Transmissions.</w:t>
      </w:r>
      <w:r>
        <w:br/>
      </w:r>
      <w:r>
        <w:t xml:space="preserve">(a) No transmission will be made except under an FCC license or authorization covering the station,</w:t>
      </w:r>
      <w:r>
        <w:t xml:space="preserve"> </w:t>
      </w:r>
      <w:r>
        <w:t xml:space="preserve">frequency, power, and emission type, or from a station operated by a licensee who has confirmed in</w:t>
      </w:r>
      <w:r>
        <w:t xml:space="preserve"> </w:t>
      </w:r>
      <w:r>
        <w:t xml:space="preserve">writing that the transmission is within its authorization. 47 U.S.C. §301.</w:t>
      </w:r>
      <w:r>
        <w:br/>
      </w:r>
      <w:r>
        <w:t xml:space="preserve">(b) The transmission plan will identify the target, schedule, frequency, power, and antenna gain, and</w:t>
      </w:r>
      <w:r>
        <w:t xml:space="preserve"> </w:t>
      </w:r>
      <w:r>
        <w:t xml:space="preserve">will be reviewed for interference with other services.</w:t>
      </w:r>
      <w:r>
        <w:br/>
      </w:r>
      <w:r>
        <w:t xml:space="preserve">(c) Before any transmission directed at a specific object detected in Earth’s vicinity, or at a</w:t>
      </w:r>
      <w:r>
        <w:t xml:space="preserve"> </w:t>
      </w:r>
      <w:r>
        <w:t xml:space="preserve">location where a government authority has reported unidentified anomalous phenomena, the Principal</w:t>
      </w:r>
      <w:r>
        <w:t xml:space="preserve"> </w:t>
      </w:r>
      <w:r>
        <w:t xml:space="preserve">Investigator will notify [the FAA, if aviation safety could be affected / the relevant agency] and</w:t>
      </w:r>
      <w:r>
        <w:t xml:space="preserve"> </w:t>
      </w:r>
      <w:r>
        <w:t xml:space="preserve">record the notice.</w:t>
      </w:r>
    </w:p>
    <w:p>
      <w:pPr>
        <w:pStyle w:val="BodyText"/>
      </w:pPr>
      <w:r>
        <w:rPr>
          <w:bCs/>
          <w:b/>
        </w:rPr>
        <w:t xml:space="preserve">3. Content review.</w:t>
      </w:r>
      <w:r>
        <w:t xml:space="preserve"> </w:t>
      </w:r>
      <w:r>
        <w:t xml:space="preserve">Before transmission or publication, the Export Control Officer will review the</w:t>
      </w:r>
      <w:r>
        <w:t xml:space="preserve"> </w:t>
      </w:r>
      <w:r>
        <w:t xml:space="preserve">content and confirm in writing that it does not contain:</w:t>
      </w:r>
      <w:r>
        <w:br/>
      </w:r>
      <w:r>
        <w:t xml:space="preserve">(a) technical data or technology controlled under the International Traffic in Arms Regulations (22</w:t>
      </w:r>
      <w:r>
        <w:t xml:space="preserve"> </w:t>
      </w:r>
      <w:r>
        <w:t xml:space="preserve">C.F.R. parts 120-130) or the Export Administration Regulations (15 C.F.R. parts 730-774) for reasons</w:t>
      </w:r>
      <w:r>
        <w:t xml:space="preserve"> </w:t>
      </w:r>
      <w:r>
        <w:t xml:space="preserve">other than anti-terrorism, unless it is published or otherwise within the public-domain or</w:t>
      </w:r>
      <w:r>
        <w:t xml:space="preserve"> </w:t>
      </w:r>
      <w:r>
        <w:t xml:space="preserve">fundamental-research exclusions;</w:t>
      </w:r>
      <w:r>
        <w:br/>
      </w:r>
      <w:r>
        <w:t xml:space="preserve">(b) Restricted Data or other information subject to the Atomic Energy Act;</w:t>
      </w:r>
      <w:r>
        <w:br/>
      </w:r>
      <w:r>
        <w:t xml:space="preserve">(c) information that is or appears to be classified; or</w:t>
      </w:r>
      <w:r>
        <w:br/>
      </w:r>
      <w:r>
        <w:t xml:space="preserve">(d) personal information about third parties disclosed without consent.</w:t>
      </w:r>
      <w:r>
        <w:t xml:space="preserve"> </w:t>
      </w:r>
      <w:r>
        <w:t xml:space="preserve">Messages composed of mathematics, general science, language primers, cultural material, and</w:t>
      </w:r>
      <w:r>
        <w:t xml:space="preserve"> </w:t>
      </w:r>
      <w:r>
        <w:t xml:space="preserve">descriptions of the sender ordinarily raise none of these issues.</w:t>
      </w:r>
    </w:p>
    <w:p>
      <w:pPr>
        <w:pStyle w:val="BodyText"/>
      </w:pPr>
      <w:r>
        <w:rPr>
          <w:bCs/>
          <w:b/>
        </w:rPr>
        <w:t xml:space="preserve">4. Received communications containing technical content.</w:t>
      </w:r>
      <w:r>
        <w:t xml:space="preserve"> </w:t>
      </w:r>
      <w:r>
        <w:t xml:space="preserve">If any communication received appears to</w:t>
      </w:r>
      <w:r>
        <w:t xml:space="preserve"> </w:t>
      </w:r>
      <w:r>
        <w:t xml:space="preserve">contain technical information about energy, propulsion, materials, weapons, or medicine:</w:t>
      </w:r>
      <w:r>
        <w:br/>
      </w:r>
      <w:r>
        <w:t xml:space="preserve">(a) record it, the circumstances of receipt, and the chain of custody of any recording;</w:t>
      </w:r>
      <w:r>
        <w:br/>
      </w:r>
      <w:r>
        <w:t xml:space="preserve">(b) do not share the technical content with any foreign person (including foreign nationals working</w:t>
      </w:r>
      <w:r>
        <w:t xml:space="preserve"> </w:t>
      </w:r>
      <w:r>
        <w:t xml:space="preserve">in the United States) until the Export Control Officer has determined whether it is controlled, since</w:t>
      </w:r>
      <w:r>
        <w:t xml:space="preserve"> </w:t>
      </w:r>
      <w:r>
        <w:t xml:space="preserve">release to a foreign person in the United States can be a deemed export;</w:t>
      </w:r>
      <w:r>
        <w:br/>
      </w:r>
      <w:r>
        <w:t xml:space="preserve">(c) do not attempt to build, test, or administer any device, substance, or treatment described, except</w:t>
      </w:r>
      <w:r>
        <w:t xml:space="preserve"> </w:t>
      </w:r>
      <w:r>
        <w:t xml:space="preserve">under the ordinary safety, institutional review, and regulatory requirements that would apply to the</w:t>
      </w:r>
      <w:r>
        <w:t xml:space="preserve"> </w:t>
      </w:r>
      <w:r>
        <w:t xml:space="preserve">same work from any other source; and</w:t>
      </w:r>
      <w:r>
        <w:br/>
      </w:r>
      <w:r>
        <w:t xml:space="preserve">(d) consult counsel before publishing. Publication of lawfully received information is ordinarily</w:t>
      </w:r>
      <w:r>
        <w:t xml:space="preserve"> </w:t>
      </w:r>
      <w:r>
        <w:t xml:space="preserve">protected (Issues B4, F3), but publication of information that would make it subject to the public-</w:t>
      </w:r>
      <w:r>
        <w:t xml:space="preserve"> </w:t>
      </w:r>
      <w:r>
        <w:t xml:space="preserve">domain exclusion should be a deliberate decision.</w:t>
      </w:r>
    </w:p>
    <w:p>
      <w:pPr>
        <w:pStyle w:val="BodyText"/>
      </w:pPr>
      <w:r>
        <w:rPr>
          <w:bCs/>
          <w:b/>
        </w:rPr>
        <w:t xml:space="preserve">5. Designated entities.</w:t>
      </w:r>
      <w:r>
        <w:t xml:space="preserve"> </w:t>
      </w:r>
      <w:r>
        <w:t xml:space="preserve">Before any communication that involves providing services, training,</w:t>
      </w:r>
      <w:r>
        <w:t xml:space="preserve"> </w:t>
      </w:r>
      <w:r>
        <w:t xml:space="preserve">expert advice, or resources to any entity, confirm that the entity is not designated under any</w:t>
      </w:r>
      <w:r>
        <w:t xml:space="preserve"> </w:t>
      </w:r>
      <w:r>
        <w:t xml:space="preserve">sanctions or counterterrorism authority. If any government designates an NHI group or affiliated</w:t>
      </w:r>
      <w:r>
        <w:t xml:space="preserve"> </w:t>
      </w:r>
      <w:r>
        <w:t xml:space="preserve">human organization, suspend all coordinated activity with it pending legal review. Independent speech</w:t>
      </w:r>
      <w:r>
        <w:t xml:space="preserve"> </w:t>
      </w:r>
      <w:r>
        <w:t xml:space="preserve">and publication about that group may continue.</w:t>
      </w:r>
    </w:p>
    <w:p>
      <w:pPr>
        <w:pStyle w:val="BodyText"/>
      </w:pPr>
      <w:r>
        <w:rPr>
          <w:bCs/>
          <w:b/>
        </w:rPr>
        <w:t xml:space="preserve">6. Information from government sources.</w:t>
      </w:r>
      <w:r>
        <w:t xml:space="preserve"> </w:t>
      </w:r>
      <w:r>
        <w:t xml:space="preserve">If any person offers [Organization] information that is or</w:t>
      </w:r>
      <w:r>
        <w:t xml:space="preserve"> </w:t>
      </w:r>
      <w:r>
        <w:t xml:space="preserve">appears to be classified, follow</w:t>
      </w:r>
      <w:r>
        <w:t xml:space="preserve"> </w:t>
      </w:r>
      <w:hyperlink r:id="rId21">
        <w:r>
          <w:rPr>
            <w:rStyle w:val="Hyperlink"/>
          </w:rPr>
          <w:t xml:space="preserve">Form A5-2</w:t>
        </w:r>
      </w:hyperlink>
      <w:r>
        <w:t xml:space="preserve"> </w:t>
      </w:r>
      <w:r>
        <w:t xml:space="preserve">(policy on unsolicited sensitive information). Do not</w:t>
      </w:r>
      <w:r>
        <w:t xml:space="preserve"> </w:t>
      </w:r>
      <w:r>
        <w:t xml:space="preserve">solicit classified information.</w:t>
      </w:r>
    </w:p>
    <w:p>
      <w:pPr>
        <w:pStyle w:val="BodyText"/>
      </w:pPr>
      <w:r>
        <w:rPr>
          <w:bCs/>
          <w:b/>
        </w:rPr>
        <w:t xml:space="preserve">7. Records.</w:t>
      </w:r>
      <w:r>
        <w:t xml:space="preserve"> </w:t>
      </w:r>
      <w:r>
        <w:t xml:space="preserve">Maintain for at least [seven] years: transmission plans and licenses; content reviews;</w:t>
      </w:r>
      <w:r>
        <w:t xml:space="preserve"> </w:t>
      </w:r>
      <w:r>
        <w:t xml:space="preserve">logs of signals and communications received; chain-of-custody records; and notices to agencies.</w:t>
      </w:r>
    </w:p>
    <w:p>
      <w:pPr>
        <w:pStyle w:val="BodyText"/>
      </w:pPr>
      <w:r>
        <w:rPr>
          <w:bCs/>
          <w:b/>
        </w:rPr>
        <w:t xml:space="preserve">8. Government contact.</w:t>
      </w:r>
      <w:r>
        <w:t xml:space="preserve"> </w:t>
      </w:r>
      <w:r>
        <w:t xml:space="preserve">Refer any inquiry from law enforcement or a government agency about these</w:t>
      </w:r>
      <w:r>
        <w:t xml:space="preserve"> </w:t>
      </w:r>
      <w:r>
        <w:t xml:space="preserve">activities to [counsel]. Participants may decline to answer questions without counsel present. Nothing</w:t>
      </w:r>
      <w:r>
        <w:t xml:space="preserve"> </w:t>
      </w:r>
      <w:r>
        <w:t xml:space="preserve">in this Protocol limits any person’s right to report information to a government authority.</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rPr>
          <w:bCs/>
          <w:b/>
        </w:rPr>
        <w:t xml:space="preserve">Logan Act.</w:t>
      </w:r>
      <w:r>
        <w:t xml:space="preserve"> </w:t>
      </w:r>
      <w:r>
        <w:t xml:space="preserve">Communications intended to influence a foreign government’s conduct in a dispute with</w:t>
      </w:r>
      <w:r>
        <w:t xml:space="preserve"> </w:t>
      </w:r>
      <w:r>
        <w:t xml:space="preserve">the United States are addressed by 18 U.S.C. §953, whose application to a non-human polity is</w:t>
      </w:r>
      <w:r>
        <w:t xml:space="preserve"> </w:t>
      </w:r>
      <w:r>
        <w:t xml:space="preserve">doubtful (</w:t>
      </w:r>
      <w:hyperlink r:id="rId20">
        <w:r>
          <w:rPr>
            <w:rStyle w:val="Hyperlink"/>
          </w:rPr>
          <w:t xml:space="preserve">Issue F3</w:t>
        </w:r>
      </w:hyperlink>
      <w:r>
        <w:t xml:space="preserve">). The Protocol does not restrict content on that ground; if a participant intends</w:t>
      </w:r>
      <w:r>
        <w:t xml:space="preserve"> </w:t>
      </w:r>
      <w:r>
        <w:t xml:space="preserve">to negotiate on behalf of the United States or to influence any polity’s conduct toward it, consult</w:t>
      </w:r>
      <w:r>
        <w:t xml:space="preserve"> </w:t>
      </w:r>
      <w:r>
        <w:t xml:space="preserve">counsel first.</w:t>
      </w:r>
    </w:p>
    <w:p>
      <w:pPr>
        <w:pStyle w:val="Compact"/>
        <w:numPr>
          <w:ilvl w:val="0"/>
          <w:numId w:val="1001"/>
        </w:numPr>
      </w:pPr>
      <w:r>
        <w:rPr>
          <w:bCs/>
          <w:b/>
        </w:rPr>
        <w:t xml:space="preserve">IAA protocols.</w:t>
      </w:r>
      <w:r>
        <w:t xml:space="preserve"> </w:t>
      </w:r>
      <w:r>
        <w:t xml:space="preserve">Scientific groups may also adopt the International Academy of Astronautics’</w:t>
      </w:r>
      <w:r>
        <w:t xml:space="preserve"> </w:t>
      </w:r>
      <w:r>
        <w:t xml:space="preserve">post-detection principles on verification and announcement (</w:t>
      </w:r>
      <w:hyperlink r:id="rId22">
        <w:r>
          <w:rPr>
            <w:rStyle w:val="Hyperlink"/>
          </w:rPr>
          <w:t xml:space="preserve">Issue F6</w:t>
        </w:r>
      </w:hyperlink>
      <w:r>
        <w:t xml:space="preserve">). Those principles are professional norms and</w:t>
      </w:r>
      <w:r>
        <w:t xml:space="preserve"> </w:t>
      </w:r>
      <w:r>
        <w:t xml:space="preserve">impose no legal duty.</w:t>
      </w:r>
    </w:p>
    <w:p>
      <w:pPr>
        <w:pStyle w:val="Compact"/>
        <w:numPr>
          <w:ilvl w:val="0"/>
          <w:numId w:val="1001"/>
        </w:numPr>
      </w:pPr>
      <w:r>
        <w:rPr>
          <w:bCs/>
          <w:b/>
        </w:rPr>
        <w:t xml:space="preserve">Individuals.</w:t>
      </w:r>
      <w:r>
        <w:t xml:space="preserve"> </w:t>
      </w:r>
      <w:r>
        <w:t xml:space="preserve">An individual reporting personal contact can use Sections 3, 4, 6, and 7 without the</w:t>
      </w:r>
      <w:r>
        <w:t xml:space="preserve"> </w:t>
      </w:r>
      <w:r>
        <w:t xml:space="preserve">institutional roles.</w:t>
      </w:r>
    </w:p>
    <w:p>
      <w:pPr>
        <w:pStyle w:val="Compact"/>
        <w:numPr>
          <w:ilvl w:val="0"/>
          <w:numId w:val="1001"/>
        </w:numPr>
      </w:pPr>
      <w:r>
        <w:t xml:space="preserve">Related:</w:t>
      </w:r>
      <w:r>
        <w:t xml:space="preserve"> </w:t>
      </w:r>
      <w:hyperlink r:id="rId20">
        <w:r>
          <w:rPr>
            <w:rStyle w:val="Hyperlink"/>
          </w:rPr>
          <w:t xml:space="preserve">Issue F3</w:t>
        </w:r>
      </w:hyperlink>
      <w:r>
        <w:t xml:space="preserve">, A5, F6; Forms A5-1, A5-2, F3-1.</w:t>
      </w:r>
    </w:p>
    <w:bookmarkEnd w:id="23"/>
    <w:bookmarkEnd w:id="24"/>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a5-2.html" TargetMode="External"/><Relationship Id="rId20" Type="http://schemas.openxmlformats.org/officeDocument/2006/relationships/hyperlink" Target="https://nhilaw.com/issues/f3.html" TargetMode="External"/><Relationship Id="rId22" Type="http://schemas.openxmlformats.org/officeDocument/2006/relationships/hyperlink" Target="https://nhilaw.com/issues/f6.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a5-2.html" TargetMode="External"/><Relationship Id="rId20" Type="http://schemas.openxmlformats.org/officeDocument/2006/relationships/hyperlink" Target="https://nhilaw.com/issues/f3.html" TargetMode="External"/><Relationship Id="rId22" Type="http://schemas.openxmlformats.org/officeDocument/2006/relationships/hyperlink" Target="https://nhilaw.com/issues/f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F3-2. Compliance Protocol for Researchers and Individuals Communicating, or Attempting to Communicate, with Non-Human Intelligence</dc:title>
  <dc:creator>nhilaw.com</dc:creator>
  <cp:keywords/>
  <dcterms:created xsi:type="dcterms:W3CDTF">2026-10-19T03:15:03Z</dcterms:created>
  <dcterms:modified xsi:type="dcterms:W3CDTF">2026-10-19T03:15:03Z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