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Right to Communicate with Non-Human Intelligence, and the Government's Power to Restrict It</w:t>
      </w:r>
    </w:p>
    <w:p>
      <w:pPr>
        <w:pStyle w:val="Subtitle"/>
      </w:pPr>
      <w:r>
        <w:t xml:space="preserve">Version 1.10 · October 2026 · nhilaw.com/issues/f3.html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The First Amendment protects speaking to and receiving information from willing speakers, including foreign ones (</w:t>
      </w:r>
      <w:r>
        <w:rPr>
          <w:iCs/>
          <w:i/>
        </w:rPr>
        <w:t xml:space="preserve">Lamont</w:t>
      </w:r>
      <w:r>
        <w:t xml:space="preserve">;</w:t>
      </w:r>
      <w:r>
        <w:t xml:space="preserve"> </w:t>
      </w:r>
      <w:r>
        <w:rPr>
          <w:iCs/>
          <w:i/>
        </w:rPr>
        <w:t xml:space="preserve">Kleindienst v. Mandel</w:t>
      </w:r>
      <w:r>
        <w:t xml:space="preserve">); a ban on communicating with NHI would be content based and subject to strict scrutiny.</w:t>
      </w:r>
    </w:p>
    <w:p>
      <w:pPr>
        <w:pStyle w:val="Compact"/>
        <w:numPr>
          <w:ilvl w:val="0"/>
          <w:numId w:val="1001"/>
        </w:numPr>
      </w:pPr>
      <w:r>
        <w:t xml:space="preserve">Narrow rules would likely survive: export controls on specified technical data, content-neutral transmitter rules, and bans on coordinated services to a designated hostile group (</w:t>
      </w:r>
      <w:r>
        <w:rPr>
          <w:iCs/>
          <w:i/>
        </w:rPr>
        <w:t xml:space="preserve">Holder v. HLP</w:t>
      </w:r>
      <w:r>
        <w:t xml:space="preserve">;</w:t>
      </w:r>
      <w:r>
        <w:t xml:space="preserve"> </w:t>
      </w:r>
      <w:r>
        <w:rPr>
          <w:iCs/>
          <w:i/>
        </w:rPr>
        <w:t xml:space="preserve">Mehanna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 Logan Act is a poor fit and probably unconstitutional; FARA and 18 U.S.C. §951 are more realistic exposures for a human intermediary who takes direction.</w:t>
      </w:r>
    </w:p>
    <w:p>
      <w:pPr>
        <w:pStyle w:val="Compact"/>
        <w:numPr>
          <w:ilvl w:val="0"/>
          <w:numId w:val="1001"/>
        </w:numPr>
      </w:pPr>
      <w:r>
        <w:t xml:space="preserve">Transmissions need FCC authorization; amateur operators should not encode messages to obscure their meaning.</w:t>
      </w:r>
    </w:p>
    <w:p>
      <w:pPr>
        <w:pStyle w:val="Compact"/>
        <w:numPr>
          <w:ilvl w:val="0"/>
          <w:numId w:val="1001"/>
        </w:numPr>
      </w:pPr>
      <w:r>
        <w:t xml:space="preserve">Received technical content may be export-controlled or Restricted Data whatever its source; review before sharing with foreign persons (</w:t>
      </w:r>
      <w:hyperlink r:id="rId21">
        <w:r>
          <w:rPr>
            <w:rStyle w:val="Hyperlink"/>
          </w:rPr>
          <w:t xml:space="preserve">Form F3-2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If NHI exist and some seek contact, people in the United States will try to communicate with them: by radio or</w:t>
      </w:r>
      <w:r>
        <w:t xml:space="preserve"> </w:t>
      </w:r>
      <w:r>
        <w:t xml:space="preserve">optical transmission, by direct encounter, or through intermediaries. The government may wish to restrict that</w:t>
      </w:r>
      <w:r>
        <w:t xml:space="preserve"> </w:t>
      </w:r>
      <w:r>
        <w:t xml:space="preserve">communication to prevent transfer of dangerous technology to</w:t>
      </w:r>
      <w:r>
        <w:t xml:space="preserve"> </w:t>
      </w:r>
      <w:r>
        <w:t xml:space="preserve">“</w:t>
      </w:r>
      <w:r>
        <w:t xml:space="preserve">bad actors,</w:t>
      </w:r>
      <w:r>
        <w:t xml:space="preserve">”</w:t>
      </w:r>
      <w:r>
        <w:t xml:space="preserve"> </w:t>
      </w:r>
      <w:r>
        <w:t xml:space="preserve">to manage diplomacy, or to control</w:t>
      </w:r>
      <w:r>
        <w:t xml:space="preserve"> </w:t>
      </w:r>
      <w:r>
        <w:t xml:space="preserve">disclosure. The constitutional framework strongly protects communication and receipt of information, but leaves</w:t>
      </w:r>
      <w:r>
        <w:t xml:space="preserve"> </w:t>
      </w:r>
      <w:r>
        <w:t xml:space="preserve">room for narrowly drawn restrictions on the export of technical data, on coordination with designated hostile</w:t>
      </w:r>
      <w:r>
        <w:t xml:space="preserve"> </w:t>
      </w:r>
      <w:r>
        <w:t xml:space="preserve">entities, and on the physical means of transmission.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Speaking and receiving.</w:t>
      </w:r>
      <w:r>
        <w:t xml:space="preserve"> </w:t>
      </w:r>
      <w:r>
        <w:t xml:space="preserve">The First Amendment protects the right to speak to and receive information from</w:t>
      </w:r>
      <w:r>
        <w:t xml:space="preserve"> </w:t>
      </w:r>
      <w:r>
        <w:t xml:space="preserve">willing speakers, including foreign speakers.</w:t>
      </w:r>
      <w:r>
        <w:t xml:space="preserve"> </w:t>
      </w:r>
      <w:r>
        <w:rPr>
          <w:iCs/>
          <w:i/>
        </w:rPr>
        <w:t xml:space="preserve">Lamont v. Postmaster General</w:t>
      </w:r>
      <w:r>
        <w:t xml:space="preserve">, 381 U.S. 301 (1965) (struck down</w:t>
      </w:r>
      <w:r>
        <w:t xml:space="preserve"> </w:t>
      </w:r>
      <w:r>
        <w:t xml:space="preserve">a requirement that recipients request delivery of foreign</w:t>
      </w:r>
      <w:r>
        <w:t xml:space="preserve"> </w:t>
      </w:r>
      <w:r>
        <w:t xml:space="preserve">“</w:t>
      </w:r>
      <w:r>
        <w:t xml:space="preserve">communist political propaganda</w:t>
      </w:r>
      <w:r>
        <w:t xml:space="preserve">”</w:t>
      </w:r>
      <w:r>
        <w:t xml:space="preserve">);</w:t>
      </w:r>
      <w:r>
        <w:t xml:space="preserve"> </w:t>
      </w:r>
      <w:r>
        <w:rPr>
          <w:iCs/>
          <w:i/>
        </w:rPr>
        <w:t xml:space="preserve">Kleindienst v.</w:t>
      </w:r>
      <w:r>
        <w:rPr>
          <w:iCs/>
          <w:i/>
        </w:rPr>
        <w:t xml:space="preserve"> </w:t>
      </w:r>
      <w:r>
        <w:rPr>
          <w:iCs/>
          <w:i/>
        </w:rPr>
        <w:t xml:space="preserve">Mandel</w:t>
      </w:r>
      <w:r>
        <w:t xml:space="preserve">, 408 U.S. 753 (1972) (recognizing a First Amendment interest in receiving information from a foreign</w:t>
      </w:r>
      <w:r>
        <w:t xml:space="preserve"> </w:t>
      </w:r>
      <w:r>
        <w:t xml:space="preserve">speaker, though deferring to the government’s exclusion of the speaker himself);</w:t>
      </w:r>
      <w:r>
        <w:t xml:space="preserve"> </w:t>
      </w:r>
      <w:r>
        <w:rPr>
          <w:iCs/>
          <w:i/>
        </w:rPr>
        <w:t xml:space="preserve">Stanley v. Georgia</w:t>
      </w:r>
      <w:r>
        <w:t xml:space="preserve">, 394 U.S.</w:t>
      </w:r>
      <w:r>
        <w:t xml:space="preserve"> </w:t>
      </w:r>
      <w:r>
        <w:t xml:space="preserve">557 (1969). Restrictions on the content of communication with NHI would be content-based and subject to strict</w:t>
      </w:r>
      <w:r>
        <w:t xml:space="preserve"> </w:t>
      </w:r>
      <w:r>
        <w:t xml:space="preserve">scrutiny (</w:t>
      </w:r>
      <w:r>
        <w:rPr>
          <w:iCs/>
          <w:i/>
        </w:rPr>
        <w:t xml:space="preserve">Reed v. Town of Gilbert</w:t>
      </w:r>
      <w:r>
        <w:t xml:space="preserve">, 576 U.S. 155 (2015)).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Dangerous technology.</w:t>
      </w:r>
      <w:r>
        <w:t xml:space="preserve"> </w:t>
      </w:r>
      <w:r>
        <w:t xml:space="preserve">The government may regulate the export of technical data, including to foreign</w:t>
      </w:r>
      <w:r>
        <w:t xml:space="preserve"> </w:t>
      </w:r>
      <w:r>
        <w:t xml:space="preserve">persons in the United States, through ITAR and EAR (</w:t>
      </w:r>
      <w:hyperlink r:id="rId23">
        <w:r>
          <w:rPr>
            <w:rStyle w:val="Hyperlink"/>
          </w:rPr>
          <w:t xml:space="preserve">Issue A5</w:t>
        </w:r>
      </w:hyperlink>
      <w:r>
        <w:t xml:space="preserve">). Courts have treated some technical expression</w:t>
      </w:r>
      <w:r>
        <w:t xml:space="preserve"> </w:t>
      </w:r>
      <w:r>
        <w:t xml:space="preserve">(source code) as protected speech (</w:t>
      </w:r>
      <w:r>
        <w:rPr>
          <w:iCs/>
          <w:i/>
        </w:rPr>
        <w:t xml:space="preserve">Junger v. Daley</w:t>
      </w:r>
      <w:r>
        <w:t xml:space="preserve">, 209 F.3d 481 (6th Cir. 2000)), and licensing schemes for</w:t>
      </w:r>
      <w:r>
        <w:t xml:space="preserve"> </w:t>
      </w:r>
      <w:r>
        <w:t xml:space="preserve">publication raise prior-restraint concerns (</w:t>
      </w:r>
      <w:r>
        <w:rPr>
          <w:iCs/>
          <w:i/>
        </w:rPr>
        <w:t xml:space="preserve">Bernstein v. U.S. Dep’t of Justice</w:t>
      </w:r>
      <w:r>
        <w:t xml:space="preserve">, 176 F.3d 1132 (9th Cir.</w:t>
      </w:r>
      <w:r>
        <w:t xml:space="preserve"> </w:t>
      </w:r>
      <w:r>
        <w:t xml:space="preserve">1999), withdrawn on reh’g en banc). Regulation of transfers of functional technical data to identified</w:t>
      </w:r>
      <w:r>
        <w:t xml:space="preserve"> </w:t>
      </w:r>
      <w:r>
        <w:t xml:space="preserve">recipients has generally been sustained. A rule barring individuals from conveying controlled technical data</w:t>
      </w:r>
      <w:r>
        <w:t xml:space="preserve"> </w:t>
      </w:r>
      <w:r>
        <w:t xml:space="preserve">to NHI, or receiving it from NHI and passing it to prohibited parties, would likely be upheld if narrowly</w:t>
      </w:r>
      <w:r>
        <w:t xml:space="preserve"> </w:t>
      </w:r>
      <w:r>
        <w:t xml:space="preserve">drawn; a rule barring all communication with NHI would not.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Material support and coordination.</w:t>
      </w:r>
      <w:r>
        <w:t xml:space="preserve"> </w:t>
      </w:r>
      <w:r>
        <w:rPr>
          <w:iCs/>
          <w:i/>
        </w:rPr>
        <w:t xml:space="preserve">Holder v. Humanitarian Law Project</w:t>
      </w:r>
      <w:r>
        <w:t xml:space="preserve">, 561 U.S. 1 (2010), upheld a ban on</w:t>
      </w:r>
      <w:r>
        <w:t xml:space="preserve"> </w:t>
      </w:r>
      <w:r>
        <w:t xml:space="preserve">“</w:t>
      </w:r>
      <w:r>
        <w:t xml:space="preserve">material support</w:t>
      </w:r>
      <w:r>
        <w:t xml:space="preserve">”</w:t>
      </w:r>
      <w:r>
        <w:t xml:space="preserve"> </w:t>
      </w:r>
      <w:r>
        <w:t xml:space="preserve">in the form of expert advice and training coordinated with designated foreign terrorist</w:t>
      </w:r>
      <w:r>
        <w:t xml:space="preserve"> </w:t>
      </w:r>
      <w:r>
        <w:t xml:space="preserve">organizations, applying strict scrutiny but deferring to the government’s national security judgment. If the</w:t>
      </w:r>
      <w:r>
        <w:t xml:space="preserve"> </w:t>
      </w:r>
      <w:r>
        <w:t xml:space="preserve">government designated a hostile NHI group under an analogous statute, coordinated services could be</w:t>
      </w:r>
      <w:r>
        <w:t xml:space="preserve"> </w:t>
      </w:r>
      <w:r>
        <w:t xml:space="preserve">restricted. Independent advocacy and speech would remain protected. The line has held in later cases: translating</w:t>
      </w:r>
      <w:r>
        <w:t xml:space="preserve"> </w:t>
      </w:r>
      <w:r>
        <w:t xml:space="preserve">and posting extremist materials became criminal</w:t>
      </w:r>
      <w:r>
        <w:t xml:space="preserve"> </w:t>
      </w:r>
      <w:r>
        <w:t xml:space="preserve">“</w:t>
      </w:r>
      <w:r>
        <w:t xml:space="preserve">material support</w:t>
      </w:r>
      <w:r>
        <w:t xml:space="preserve">”</w:t>
      </w:r>
      <w:r>
        <w:t xml:space="preserve"> </w:t>
      </w:r>
      <w:r>
        <w:t xml:space="preserve">only if done</w:t>
      </w:r>
      <w:r>
        <w:t xml:space="preserve"> </w:t>
      </w:r>
      <w:r>
        <w:t xml:space="preserve">“</w:t>
      </w:r>
      <w:r>
        <w:t xml:space="preserve">in coordination with or at the</w:t>
      </w:r>
      <w:r>
        <w:t xml:space="preserve"> </w:t>
      </w:r>
      <w:r>
        <w:t xml:space="preserve">direction of</w:t>
      </w:r>
      <w:r>
        <w:t xml:space="preserve">”</w:t>
      </w:r>
      <w:r>
        <w:t xml:space="preserve"> </w:t>
      </w:r>
      <w:r>
        <w:t xml:space="preserve">the designated organization, and independent advocacy for the group or its goals was protected.</w:t>
      </w:r>
      <w:r>
        <w:t xml:space="preserve"> </w:t>
      </w:r>
      <w:r>
        <w:rPr>
          <w:iCs/>
          <w:i/>
        </w:rPr>
        <w:t xml:space="preserve">United States v. Mehanna</w:t>
      </w:r>
      <w:r>
        <w:t xml:space="preserve">, 735 F.3d 32, 48-50 (1st Cir. 2013) (approving jury instructions drawing that line). A</w:t>
      </w:r>
      <w:r>
        <w:t xml:space="preserve"> </w:t>
      </w:r>
      <w:r>
        <w:t xml:space="preserve">person who publishes or translates messages attributed to NHI on their own initiative is on the protected side</w:t>
      </w:r>
      <w:r>
        <w:t xml:space="preserve"> </w:t>
      </w:r>
      <w:r>
        <w:t xml:space="preserve">of</w:t>
      </w:r>
      <w:r>
        <w:t xml:space="preserve"> </w:t>
      </w:r>
      <w:r>
        <w:rPr>
          <w:iCs/>
          <w:i/>
        </w:rPr>
        <w:t xml:space="preserve">Mehanna</w:t>
      </w:r>
      <w:r>
        <w:t xml:space="preserve">; one who relays technical content at the request of a designated group would not be.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Logan Act</w:t>
      </w:r>
      <w:r>
        <w:t xml:space="preserve">, 18 U.S.C. §953, bars unauthorized correspondence with</w:t>
      </w:r>
      <w:r>
        <w:t xml:space="preserve"> </w:t>
      </w:r>
      <w:r>
        <w:t xml:space="preserve">“</w:t>
      </w:r>
      <w:r>
        <w:t xml:space="preserve">any foreign government</w:t>
      </w:r>
      <w:r>
        <w:t xml:space="preserve">”</w:t>
      </w:r>
      <w:r>
        <w:t xml:space="preserve"> </w:t>
      </w:r>
      <w:r>
        <w:t xml:space="preserve">to influence its</w:t>
      </w:r>
      <w:r>
        <w:t xml:space="preserve"> </w:t>
      </w:r>
      <w:r>
        <w:t xml:space="preserve">conduct in disputes with the United States. It has never produced a conviction in modern times and its</w:t>
      </w:r>
      <w:r>
        <w:t xml:space="preserve"> </w:t>
      </w:r>
      <w:r>
        <w:t xml:space="preserve">application to a non-human polity is doubtful (is it a</w:t>
      </w:r>
      <w:r>
        <w:t xml:space="preserve"> </w:t>
      </w:r>
      <w:r>
        <w:t xml:space="preserve">“</w:t>
      </w:r>
      <w:r>
        <w:t xml:space="preserve">foreign government</w:t>
      </w:r>
      <w:r>
        <w:t xml:space="preserve">”</w:t>
      </w:r>
      <w:r>
        <w:t xml:space="preserve">?). Constitutional vagueness and</w:t>
      </w:r>
      <w:r>
        <w:t xml:space="preserve"> </w:t>
      </w:r>
      <w:r>
        <w:t xml:space="preserve">First Amendment concerns would be serious. The only reported judicial comment on its validity that we found</w:t>
      </w:r>
      <w:r>
        <w:t xml:space="preserve"> </w:t>
      </w:r>
      <w:r>
        <w:t xml:space="preserve">noted</w:t>
      </w:r>
      <w:r>
        <w:t xml:space="preserve"> </w:t>
      </w:r>
      <w:r>
        <w:t xml:space="preserve">“</w:t>
      </w:r>
      <w:r>
        <w:t xml:space="preserve">a doubtful question with regard to the constitutionality of that statute</w:t>
      </w:r>
      <w:r>
        <w:t xml:space="preserve">”</w:t>
      </w:r>
      <w:r>
        <w:t xml:space="preserve"> </w:t>
      </w:r>
      <w:r>
        <w:t xml:space="preserve">because</w:t>
      </w:r>
      <w:r>
        <w:t xml:space="preserve"> </w:t>
      </w:r>
      <w:r>
        <w:t xml:space="preserve">“</w:t>
      </w:r>
      <w:r>
        <w:t xml:space="preserve">defeat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measures</w:t>
      </w:r>
      <w:r>
        <w:t xml:space="preserve">”</w:t>
      </w:r>
      <w:r>
        <w:t xml:space="preserve"> </w:t>
      </w:r>
      <w:r>
        <w:t xml:space="preserve">are</w:t>
      </w:r>
      <w:r>
        <w:t xml:space="preserve"> </w:t>
      </w:r>
      <w:r>
        <w:t xml:space="preserve">“</w:t>
      </w:r>
      <w:r>
        <w:t xml:space="preserve">vague and indefinite terms,</w:t>
      </w:r>
      <w:r>
        <w:t xml:space="preserve">”</w:t>
      </w:r>
      <w:r>
        <w:t xml:space="preserve"> </w:t>
      </w:r>
      <w:r>
        <w:t xml:space="preserve">without deciding it.</w:t>
      </w:r>
      <w:r>
        <w:t xml:space="preserve"> </w:t>
      </w:r>
      <w:r>
        <w:rPr>
          <w:iCs/>
          <w:i/>
        </w:rPr>
        <w:t xml:space="preserve">Waldron v. British Petroleum Co.</w:t>
      </w:r>
      <w:r>
        <w:t xml:space="preserve">, 231 F. Supp. 72, 89</w:t>
      </w:r>
      <w:r>
        <w:t xml:space="preserve"> </w:t>
      </w:r>
      <w:r>
        <w:t xml:space="preserve">(S.D.N.Y. 1964).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Physical means.</w:t>
      </w:r>
      <w:r>
        <w:t xml:space="preserve"> </w:t>
      </w:r>
      <w:r>
        <w:t xml:space="preserve">Radio transmission requires FCC licensing (47 U.S.C. §301); high-power transmissions aimed</w:t>
      </w:r>
      <w:r>
        <w:t xml:space="preserve"> </w:t>
      </w:r>
      <w:r>
        <w:t xml:space="preserve">at space (active SETI / METI) would need licenses and could be regulated under content-neutral rules on power,</w:t>
      </w:r>
      <w:r>
        <w:t xml:space="preserve"> </w:t>
      </w:r>
      <w:r>
        <w:t xml:space="preserve">frequency, and interference. Content-based licensing restrictions would face strict scrutiny.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IEEPA informational materials exemption.</w:t>
      </w:r>
      <w:r>
        <w:t xml:space="preserve"> </w:t>
      </w:r>
      <w:r>
        <w:t xml:space="preserve">IEEPA does not authorize regulation of the import or export of</w:t>
      </w:r>
      <w:r>
        <w:t xml:space="preserve"> </w:t>
      </w:r>
      <w:r>
        <w:t xml:space="preserve">“</w:t>
      </w:r>
      <w:r>
        <w:t xml:space="preserve">informational materials</w:t>
      </w:r>
      <w:r>
        <w:t xml:space="preserve">”</w:t>
      </w:r>
      <w:r>
        <w:t xml:space="preserve"> </w:t>
      </w:r>
      <w:r>
        <w:t xml:space="preserve">(50 U.S.C. §1702(b)(3)) (the Berman Amendment). If the government used sanctions</w:t>
      </w:r>
      <w:r>
        <w:t xml:space="preserve"> </w:t>
      </w:r>
      <w:r>
        <w:t xml:space="preserve">authorities against an NHI group, communication of informational materials would remain protected.</w:t>
      </w:r>
    </w:p>
    <w:bookmarkEnd w:id="24"/>
    <w:bookmarkStart w:id="26" w:name="X493aed868ea0171db689edfe8f0c008acc3e494"/>
    <w:p>
      <w:pPr>
        <w:pStyle w:val="Heading2"/>
      </w:pPr>
      <w:r>
        <w:t xml:space="preserve">1A. Exposures more realistic than the Logan Act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Foreign agents.</w:t>
      </w:r>
      <w:r>
        <w:t xml:space="preserve"> </w:t>
      </w:r>
      <w:r>
        <w:t xml:space="preserve">The Foreign Agents Registration Act defines</w:t>
      </w:r>
      <w:r>
        <w:t xml:space="preserve"> </w:t>
      </w:r>
      <w:r>
        <w:t xml:space="preserve">“</w:t>
      </w:r>
      <w:r>
        <w:t xml:space="preserve">foreign principal</w:t>
      </w:r>
      <w:r>
        <w:t xml:space="preserve">”</w:t>
      </w:r>
      <w:r>
        <w:t xml:space="preserve"> </w:t>
      </w:r>
      <w:r>
        <w:t xml:space="preserve">to include not only foreign</w:t>
      </w:r>
      <w:r>
        <w:t xml:space="preserve"> </w:t>
      </w:r>
      <w:r>
        <w:t xml:space="preserve">governments and parties but</w:t>
      </w:r>
      <w:r>
        <w:t xml:space="preserve"> </w:t>
      </w:r>
      <w:r>
        <w:t xml:space="preserve">“</w:t>
      </w:r>
      <w:r>
        <w:t xml:space="preserve">a person outside of the United States</w:t>
      </w:r>
      <w:r>
        <w:t xml:space="preserve">”</w:t>
      </w:r>
      <w:r>
        <w:t xml:space="preserve"> </w:t>
      </w:r>
      <w:r>
        <w:t xml:space="preserve">and organizations organized abroad (22 U.S.C.</w:t>
      </w:r>
      <w:r>
        <w:t xml:space="preserve"> </w:t>
      </w:r>
      <w:r>
        <w:t xml:space="preserve">§611(b)). A person in the United States who acts at the direction of an NHI group outside the United States in</w:t>
      </w:r>
      <w:r>
        <w:t xml:space="preserve"> </w:t>
      </w:r>
      <w:r>
        <w:t xml:space="preserve">political activities or public relations aimed at U.S. audiences or officials would face the question whether the</w:t>
      </w:r>
      <w:r>
        <w:t xml:space="preserve"> </w:t>
      </w:r>
      <w:r>
        <w:t xml:space="preserve">group is a</w:t>
      </w:r>
      <w:r>
        <w:t xml:space="preserve"> </w:t>
      </w:r>
      <w:r>
        <w:t xml:space="preserve">“</w:t>
      </w:r>
      <w:r>
        <w:t xml:space="preserve">person outside of the United States.</w:t>
      </w:r>
      <w:r>
        <w:t xml:space="preserve">”</w:t>
      </w:r>
      <w:r>
        <w:t xml:space="preserve"> </w:t>
      </w:r>
      <w:r>
        <w:t xml:space="preserve">Separately, 18 U.S.C. §951 makes it a crime to act in the United</w:t>
      </w:r>
      <w:r>
        <w:t xml:space="preserve"> </w:t>
      </w:r>
      <w:r>
        <w:t xml:space="preserve">States as an agent of a foreign government without notice to the Attorney General; it applies only if the group is</w:t>
      </w:r>
      <w:r>
        <w:t xml:space="preserve"> </w:t>
      </w:r>
      <w:r>
        <w:t xml:space="preserve">treated as a</w:t>
      </w:r>
      <w:r>
        <w:t xml:space="preserve"> </w:t>
      </w:r>
      <w:r>
        <w:t xml:space="preserve">“</w:t>
      </w:r>
      <w:r>
        <w:t xml:space="preserve">foreign government.</w:t>
      </w:r>
      <w:r>
        <w:t xml:space="preserve">”</w:t>
      </w:r>
      <w:r>
        <w:t xml:space="preserve"> </w:t>
      </w:r>
      <w:r>
        <w:t xml:space="preserve">Neither statute has been applied to a non-human principal, but both are better</w:t>
      </w:r>
      <w:r>
        <w:t xml:space="preserve"> </w:t>
      </w:r>
      <w:r>
        <w:t xml:space="preserve">fits than the Logan Act for a human intermediary who takes direction.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Amateur radio.</w:t>
      </w:r>
      <w:r>
        <w:t xml:space="preserve"> </w:t>
      </w:r>
      <w:r>
        <w:t xml:space="preserve">Licensed amateur stations may not transmit</w:t>
      </w:r>
      <w:r>
        <w:t xml:space="preserve"> </w:t>
      </w:r>
      <w:r>
        <w:t xml:space="preserve">“</w:t>
      </w:r>
      <w:r>
        <w:t xml:space="preserve">messages encoded for the purpose of obscuring their</w:t>
      </w:r>
      <w:r>
        <w:t xml:space="preserve"> </w:t>
      </w:r>
      <w:r>
        <w:t xml:space="preserve">meaning</w:t>
      </w:r>
      <w:r>
        <w:t xml:space="preserve">”</w:t>
      </w:r>
      <w:r>
        <w:t xml:space="preserve"> </w:t>
      </w:r>
      <w:r>
        <w:t xml:space="preserve">(47 C.F.R. §97.113(a)(4)). A message to NHI in a constructed code is not encoded to obscure meaning, but</w:t>
      </w:r>
      <w:r>
        <w:t xml:space="preserve"> </w:t>
      </w:r>
      <w:r>
        <w:t xml:space="preserve">operators should publish the key and the content to stay clearly within the rule. Experimental and other licenses</w:t>
      </w:r>
      <w:r>
        <w:t xml:space="preserve"> </w:t>
      </w:r>
      <w:r>
        <w:t xml:space="preserve">have their own conditions.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Religious practice.</w:t>
      </w:r>
      <w:r>
        <w:t xml:space="preserve"> </w:t>
      </w:r>
      <w:r>
        <w:t xml:space="preserve">Some groups treat contact attempts as spiritual practice. A federal rule that substantially</w:t>
      </w:r>
      <w:r>
        <w:t xml:space="preserve"> </w:t>
      </w:r>
      <w:r>
        <w:t xml:space="preserve">burdened that practice would need to satisfy the Religious Freedom Restoration Act (42 U.S.C. §2000bb-1), which</w:t>
      </w:r>
      <w:r>
        <w:t xml:space="preserve"> </w:t>
      </w:r>
      <w:r>
        <w:t xml:space="preserve">requires a compelling interest and the least restrictive means.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Fraud.</w:t>
      </w:r>
      <w:r>
        <w:t xml:space="preserve"> </w:t>
      </w:r>
      <w:r>
        <w:t xml:space="preserve">People who sell purported technical information</w:t>
      </w:r>
      <w:r>
        <w:t xml:space="preserve"> </w:t>
      </w:r>
      <w:r>
        <w:t xml:space="preserve">“</w:t>
      </w:r>
      <w:r>
        <w:t xml:space="preserve">received</w:t>
      </w:r>
      <w:r>
        <w:t xml:space="preserve">”</w:t>
      </w:r>
      <w:r>
        <w:t xml:space="preserve"> </w:t>
      </w:r>
      <w:r>
        <w:t xml:space="preserve">from NHI, or sell investments in devices</w:t>
      </w:r>
      <w:r>
        <w:t xml:space="preserve"> </w:t>
      </w:r>
      <w:r>
        <w:t xml:space="preserve">built from it, are subject to the mail and wire fraud statutes and to securities law (</w:t>
      </w:r>
      <w:hyperlink r:id="rId25">
        <w:r>
          <w:rPr>
            <w:rStyle w:val="Hyperlink"/>
          </w:rPr>
          <w:t xml:space="preserve">Issue E4</w:t>
        </w:r>
      </w:hyperlink>
      <w:r>
        <w:t xml:space="preserve">) like anyone else;</w:t>
      </w:r>
      <w:r>
        <w:t xml:space="preserve"> </w:t>
      </w:r>
      <w:r>
        <w:t xml:space="preserve">the source claim is not a defense, and an honest belief in the source is relevant only to intent.</w:t>
      </w:r>
    </w:p>
    <w:bookmarkEnd w:id="26"/>
    <w:bookmarkStart w:id="29" w:name="Xd1472d691f7314001e0195d7980337492cc1093"/>
    <w:p>
      <w:pPr>
        <w:pStyle w:val="Heading2"/>
      </w:pPr>
      <w:r>
        <w:t xml:space="preserve">2. The right to obtain energy and medical information</w:t>
      </w:r>
    </w:p>
    <w:p>
      <w:pPr>
        <w:pStyle w:val="FirstParagraph"/>
      </w:pPr>
      <w:r>
        <w:t xml:space="preserve">A right to communicate does not create a right to compel anyone to provide information. Persons who receive</w:t>
      </w:r>
      <w:r>
        <w:t xml:space="preserve"> </w:t>
      </w:r>
      <w:r>
        <w:t xml:space="preserve">beneficial technical information from NHI could share it, subject to export controls, Restricted Data rules (if</w:t>
      </w:r>
      <w:r>
        <w:t xml:space="preserve"> </w:t>
      </w:r>
      <w:r>
        <w:t xml:space="preserve">nuclear), FDA and other safety regulation of products, and patent law. Government suppression of information</w:t>
      </w:r>
      <w:r>
        <w:t xml:space="preserve"> </w:t>
      </w:r>
      <w:r>
        <w:t xml:space="preserve">received lawfully from a non-governmental source would face</w:t>
      </w:r>
      <w:r>
        <w:t xml:space="preserve"> </w:t>
      </w:r>
      <w:r>
        <w:rPr>
          <w:iCs/>
          <w:i/>
        </w:rPr>
        <w:t xml:space="preserve">New York Times Co. v. United States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Bartnicki</w:t>
      </w:r>
      <w:r>
        <w:t xml:space="preserve"> </w:t>
      </w:r>
      <w:r>
        <w:t xml:space="preserve">principles (</w:t>
      </w:r>
      <w:hyperlink r:id="rId27">
        <w:r>
          <w:rPr>
            <w:rStyle w:val="Hyperlink"/>
          </w:rPr>
          <w:t xml:space="preserve">Issue B4</w:t>
        </w:r>
      </w:hyperlink>
      <w:r>
        <w:t xml:space="preserve">).</w:t>
      </w:r>
      <w:r>
        <w:t xml:space="preserve"> </w:t>
      </w:r>
      <w:hyperlink r:id="rId28">
        <w:r>
          <w:rPr>
            <w:rStyle w:val="Hyperlink"/>
          </w:rPr>
          <w:t xml:space="preserve">Issue D6</w:t>
        </w:r>
      </w:hyperlink>
      <w:r>
        <w:t xml:space="preserve"> </w:t>
      </w:r>
      <w:r>
        <w:t xml:space="preserve">addresses withheld government information.</w:t>
      </w:r>
    </w:p>
    <w:bookmarkEnd w:id="29"/>
    <w:bookmarkStart w:id="30" w:name="X80dac1a8cf1ac5f5e306e36dae6de606e7410f1"/>
    <w:p>
      <w:pPr>
        <w:pStyle w:val="Heading2"/>
      </w:pPr>
      <w:r>
        <w:t xml:space="preserve">3. Government interests and narrow tailoring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Government interest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Likely permissible 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Likely impermissible measure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Preventing transfer of weapons-relevant technology to hostile actors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Export controls on specified technical data; deemed-export rules; licensing of transfers to designated parties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 on all communication with NHI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Preventing provocation or diplomatic harm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Regulation of transmitter power and frequency; coordination requirements for government-funded transmissions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Content-based ban on private messages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Protecting public safety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Rules for physical contact zones, quarantine, and hazardous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Criminalizing reporting of 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Managing official diplomacy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conduct of official relations; Logan Act (doubtful)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Prior restraint on public discussion of contact</w:t>
            </w:r>
          </w:p>
        </w:tc>
      </w:tr>
    </w:tbl>
    <w:bookmarkEnd w:id="30"/>
    <w:bookmarkStart w:id="34" w:name="a.-three-scenarios"/>
    <w:p>
      <w:pPr>
        <w:pStyle w:val="Heading2"/>
      </w:pPr>
      <w:r>
        <w:t xml:space="preserve">3A. Three scenarios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A radio observatory detects a structured signal.</w:t>
      </w:r>
      <w:r>
        <w:t xml:space="preserve"> </w:t>
      </w:r>
      <w:r>
        <w:t xml:space="preserve">Verification and announcement follow the IAA post-detection</w:t>
      </w:r>
      <w:r>
        <w:t xml:space="preserve"> </w:t>
      </w:r>
      <w:r>
        <w:t xml:space="preserve">principles (</w:t>
      </w:r>
      <w:hyperlink r:id="rId31">
        <w:r>
          <w:rPr>
            <w:rStyle w:val="Hyperlink"/>
          </w:rPr>
          <w:t xml:space="preserve">Issue F6</w:t>
        </w:r>
      </w:hyperlink>
      <w:r>
        <w:t xml:space="preserve">). There is no legal duty to report to the government, but if the signal carries technical</w:t>
      </w:r>
      <w:r>
        <w:t xml:space="preserve"> </w:t>
      </w:r>
      <w:r>
        <w:t xml:space="preserve">content, export controls apply to sharing that content with foreign persons before it is published (</w:t>
      </w:r>
      <w:hyperlink r:id="rId21">
        <w:r>
          <w:rPr>
            <w:rStyle w:val="Hyperlink"/>
          </w:rPr>
          <w:t xml:space="preserve">Form F3-2</w:t>
        </w:r>
      </w:hyperlink>
      <w:r>
        <w:t xml:space="preserve">).</w:t>
      </w:r>
      <w:r>
        <w:t xml:space="preserve"> </w:t>
      </w:r>
      <w:r>
        <w:t xml:space="preserve">Publication itself is protected speech.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A contactee reports receiving technical data.</w:t>
      </w:r>
      <w:r>
        <w:t xml:space="preserve"> </w:t>
      </w:r>
      <w:r>
        <w:t xml:space="preserve">The data are not classified, because the government did not</w:t>
      </w:r>
      <w:r>
        <w:t xml:space="preserve"> </w:t>
      </w:r>
      <w:r>
        <w:t xml:space="preserve">produce them. They may still be controlled technical data if they describe defense articles, and the Atomic Energy</w:t>
      </w:r>
      <w:r>
        <w:t xml:space="preserve"> </w:t>
      </w:r>
      <w:r>
        <w:t xml:space="preserve">Act’s</w:t>
      </w:r>
      <w:r>
        <w:t xml:space="preserve"> </w:t>
      </w:r>
      <w:r>
        <w:t xml:space="preserve">“</w:t>
      </w:r>
      <w:r>
        <w:t xml:space="preserve">born secret</w:t>
      </w:r>
      <w:r>
        <w:t xml:space="preserve">”</w:t>
      </w:r>
      <w:r>
        <w:t xml:space="preserve"> </w:t>
      </w:r>
      <w:r>
        <w:t xml:space="preserve">rule could reach nuclear weapons design information regardless of source (</w:t>
      </w:r>
      <w:hyperlink r:id="rId23">
        <w:r>
          <w:rPr>
            <w:rStyle w:val="Hyperlink"/>
          </w:rPr>
          <w:t xml:space="preserve">Issue A5</w:t>
        </w:r>
      </w:hyperlink>
      <w:r>
        <w:t xml:space="preserve">). Counsel</w:t>
      </w:r>
      <w:r>
        <w:t xml:space="preserve"> </w:t>
      </w:r>
      <w:r>
        <w:t xml:space="preserve">should review before the contactee shares anything with foreign persons, and should advise against patent filings</w:t>
      </w:r>
      <w:r>
        <w:t xml:space="preserve"> </w:t>
      </w:r>
      <w:r>
        <w:t xml:space="preserve">claiming the data as the contactee’s own invention (</w:t>
      </w:r>
      <w:hyperlink r:id="rId32">
        <w:r>
          <w:rPr>
            <w:rStyle w:val="Hyperlink"/>
          </w:rPr>
          <w:t xml:space="preserve">Issue E6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A group plans a high-power transmission aimed at an object near Earth.</w:t>
      </w:r>
      <w:r>
        <w:t xml:space="preserve"> </w:t>
      </w:r>
      <w:r>
        <w:t xml:space="preserve">It needs an FCC authorization covering</w:t>
      </w:r>
      <w:r>
        <w:t xml:space="preserve"> </w:t>
      </w:r>
      <w:r>
        <w:t xml:space="preserve">the station, frequency, and power. A government order forbidding the transmission because of its content would be</w:t>
      </w:r>
      <w:r>
        <w:t xml:space="preserve"> </w:t>
      </w:r>
      <w:r>
        <w:t xml:space="preserve">a prior restraint subject to strict scrutiny (</w:t>
      </w:r>
      <w:hyperlink r:id="rId33">
        <w:r>
          <w:rPr>
            <w:rStyle w:val="Hyperlink"/>
          </w:rPr>
          <w:t xml:space="preserve">Form F3-1</w:t>
        </w:r>
      </w:hyperlink>
      <w:r>
        <w:t xml:space="preserve">); a content-neutral rule limiting power or requiring</w:t>
      </w:r>
      <w:r>
        <w:t xml:space="preserve"> </w:t>
      </w:r>
      <w:r>
        <w:t xml:space="preserve">coordination with the FAA or DoD to avoid interference would likely stand.</w:t>
      </w:r>
    </w:p>
    <w:bookmarkEnd w:id="34"/>
    <w:bookmarkStart w:id="36" w:name="practice-points"/>
    <w:p>
      <w:pPr>
        <w:pStyle w:val="Heading2"/>
      </w:pPr>
      <w:r>
        <w:t xml:space="preserve">4. Practice points</w:t>
      </w:r>
    </w:p>
    <w:p>
      <w:pPr>
        <w:pStyle w:val="Compact"/>
        <w:numPr>
          <w:ilvl w:val="0"/>
          <w:numId w:val="1005"/>
        </w:numPr>
      </w:pPr>
      <w:r>
        <w:t xml:space="preserve">Researchers planning transmissions: obtain FCC authorization; follow IAA post-detection and transmission</w:t>
      </w:r>
      <w:r>
        <w:t xml:space="preserve"> </w:t>
      </w:r>
      <w:r>
        <w:t xml:space="preserve">protocols; avoid transmitting controlled technical data.</w:t>
      </w:r>
    </w:p>
    <w:p>
      <w:pPr>
        <w:pStyle w:val="Compact"/>
        <w:numPr>
          <w:ilvl w:val="0"/>
          <w:numId w:val="1005"/>
        </w:numPr>
      </w:pPr>
      <w:r>
        <w:t xml:space="preserve">Persons claiming contact: document communications; avoid conveying controlled technical data; consult counsel</w:t>
      </w:r>
      <w:r>
        <w:t xml:space="preserve"> </w:t>
      </w:r>
      <w:r>
        <w:t xml:space="preserve">before sharing purported technical information with foreign persons.</w:t>
      </w:r>
    </w:p>
    <w:p>
      <w:pPr>
        <w:pStyle w:val="Compact"/>
        <w:numPr>
          <w:ilvl w:val="0"/>
          <w:numId w:val="1005"/>
        </w:numPr>
      </w:pPr>
      <w:r>
        <w:t xml:space="preserve">Challengers to restrictions: frame as content-based burdens on speaking and receiving; insist on narrow</w:t>
      </w:r>
      <w:r>
        <w:t xml:space="preserve"> </w:t>
      </w:r>
      <w:r>
        <w:t xml:space="preserve">tailoring; distinguish</w:t>
      </w:r>
      <w:r>
        <w:t xml:space="preserve"> </w:t>
      </w:r>
      <w:r>
        <w:rPr>
          <w:iCs/>
          <w:i/>
        </w:rPr>
        <w:t xml:space="preserve">Holder</w:t>
      </w:r>
      <w:r>
        <w:t xml:space="preserve"> </w:t>
      </w:r>
      <w:r>
        <w:t xml:space="preserve">(coordination with designated groups) from independent speech.</w:t>
      </w:r>
    </w:p>
    <w:p>
      <w:pPr>
        <w:pStyle w:val="Compact"/>
        <w:numPr>
          <w:ilvl w:val="0"/>
          <w:numId w:val="1005"/>
        </w:numPr>
      </w:pPr>
      <w:r>
        <w:t xml:space="preserve">Hosts of in-person meetings: see</w:t>
      </w:r>
      <w:r>
        <w:t xml:space="preserve"> </w:t>
      </w:r>
      <w:hyperlink r:id="rId35">
        <w:r>
          <w:rPr>
            <w:rStyle w:val="Hyperlink"/>
          </w:rPr>
          <w:t xml:space="preserve">Issue F7</w:t>
        </w:r>
      </w:hyperlink>
      <w:r>
        <w:t xml:space="preserve"> </w:t>
      </w:r>
      <w:r>
        <w:t xml:space="preserve">for a protected meeting site, the Logan Act and FARA questions such a</w:t>
      </w:r>
      <w:r>
        <w:t xml:space="preserve"> </w:t>
      </w:r>
      <w:r>
        <w:t xml:space="preserve">site raises, and the host’s declaration, code of conduct, and notice letters (Forms F7-3, F7-4).</w:t>
      </w:r>
    </w:p>
    <w:bookmarkEnd w:id="36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The Right to Communicate with Non-Human Intelligence, and the Government's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f3-1.html" TargetMode="External"/><Relationship Id="rId21" Type="http://schemas.openxmlformats.org/officeDocument/2006/relationships/hyperlink" Target="https://nhilaw.com/forms/f3-2.html" TargetMode="External"/><Relationship Id="rId23" Type="http://schemas.openxmlformats.org/officeDocument/2006/relationships/hyperlink" Target="https://nhilaw.com/issues/a5.html" TargetMode="External"/><Relationship Id="rId27" Type="http://schemas.openxmlformats.org/officeDocument/2006/relationships/hyperlink" Target="https://nhilaw.com/issues/b4.html" TargetMode="External"/><Relationship Id="rId28" Type="http://schemas.openxmlformats.org/officeDocument/2006/relationships/hyperlink" Target="https://nhilaw.com/issues/d6.html" TargetMode="External"/><Relationship Id="rId25" Type="http://schemas.openxmlformats.org/officeDocument/2006/relationships/hyperlink" Target="https://nhilaw.com/issues/e4.html" TargetMode="External"/><Relationship Id="rId32" Type="http://schemas.openxmlformats.org/officeDocument/2006/relationships/hyperlink" Target="https://nhilaw.com/issues/e6.html" TargetMode="External"/><Relationship Id="rId31" Type="http://schemas.openxmlformats.org/officeDocument/2006/relationships/hyperlink" Target="https://nhilaw.com/issues/f6.html" TargetMode="External"/><Relationship Id="rId35" Type="http://schemas.openxmlformats.org/officeDocument/2006/relationships/hyperlink" Target="https://nhilaw.com/issues/f7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f3-1.html" TargetMode="External"/><Relationship Id="rId21" Type="http://schemas.openxmlformats.org/officeDocument/2006/relationships/hyperlink" Target="https://nhilaw.com/forms/f3-2.html" TargetMode="External"/><Relationship Id="rId23" Type="http://schemas.openxmlformats.org/officeDocument/2006/relationships/hyperlink" Target="https://nhilaw.com/issues/a5.html" TargetMode="External"/><Relationship Id="rId27" Type="http://schemas.openxmlformats.org/officeDocument/2006/relationships/hyperlink" Target="https://nhilaw.com/issues/b4.html" TargetMode="External"/><Relationship Id="rId28" Type="http://schemas.openxmlformats.org/officeDocument/2006/relationships/hyperlink" Target="https://nhilaw.com/issues/d6.html" TargetMode="External"/><Relationship Id="rId25" Type="http://schemas.openxmlformats.org/officeDocument/2006/relationships/hyperlink" Target="https://nhilaw.com/issues/e4.html" TargetMode="External"/><Relationship Id="rId32" Type="http://schemas.openxmlformats.org/officeDocument/2006/relationships/hyperlink" Target="https://nhilaw.com/issues/e6.html" TargetMode="External"/><Relationship Id="rId31" Type="http://schemas.openxmlformats.org/officeDocument/2006/relationships/hyperlink" Target="https://nhilaw.com/issues/f6.html" TargetMode="External"/><Relationship Id="rId35" Type="http://schemas.openxmlformats.org/officeDocument/2006/relationships/hyperlink" Target="https://nhilaw.com/issues/f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Right to Communicate with Non-Human Intelligence, and the Government's Power to Restrict It</dc:title>
  <dc:creator>nhilaw.com</dc:creator>
  <cp:keywords/>
  <dcterms:created xsi:type="dcterms:W3CDTF">2026-10-19T03:14:56Z</dcterms:created>
  <dcterms:modified xsi:type="dcterms:W3CDTF">2026-10-19T03:14:56Z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nhilaw.com/issues/f3.html</vt:lpwstr>
  </property>
</Properties>
</file>