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5" w:name="Xa3f9898c44c41d61943c6f9d4dd4c0368c1eb9c"/>
    <w:p>
      <w:pPr>
        <w:pStyle w:val="Heading1"/>
      </w:pPr>
      <w:r>
        <w:t xml:space="preserve">Form F4-1. FOIA Request for Records of UAP Public-Perception Programs and Communications with Media and Online Platforms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https://nhilaw.com/forms/f4-1.html</w:t>
      </w:r>
    </w:p>
    <w:p>
      <w:pPr>
        <w:pStyle w:val="BodyText"/>
        <w:spacing w:after="160" w:line="259" w:lineRule="auto"/>
      </w:pPr>
      <w:r>
        <w:rPr>
          <w:bCs/>
          <w:b/>
        </w:rPr>
        <w:t xml:space="preserve">Use.</w:t>
      </w:r>
      <w:r>
        <w:t xml:space="preserve"> </w:t>
      </w:r>
      <w:hyperlink r:id="rId20">
        <w:r>
          <w:rPr>
            <w:rStyle w:val="Hyperlink"/>
          </w:rPr>
          <w:t xml:space="preserve">Issue F4</w:t>
        </w:r>
      </w:hyperlink>
      <w:r>
        <w:t xml:space="preserve"> </w:t>
      </w:r>
      <w:r>
        <w:t xml:space="preserve">identifies the legal limits on such activity: the governmentwide ban on</w:t>
      </w:r>
      <w:r>
        <w:t xml:space="preserve"> </w:t>
      </w:r>
      <w:r>
        <w:t xml:space="preserve">“</w:t>
      </w:r>
      <w:r>
        <w:t xml:space="preserve">publicity or</w:t>
      </w:r>
      <w:r>
        <w:t xml:space="preserve"> </w:t>
      </w:r>
      <w:r>
        <w:t xml:space="preserve">propaganda</w:t>
      </w:r>
      <w:r>
        <w:t xml:space="preserve">”</w:t>
      </w:r>
      <w:r>
        <w:t xml:space="preserve"> </w:t>
      </w:r>
      <w:r>
        <w:t xml:space="preserve">not authorized by Congress (Consolidated Appropriations Act, 2026, Pub. L. No. 119-75, div.</w:t>
      </w:r>
      <w:r>
        <w:t xml:space="preserve"> </w:t>
      </w:r>
      <w:r>
        <w:t xml:space="preserve">E, §718), EO 12333 §2.13 (no covert action intended to influence U.S. political processes, public</w:t>
      </w:r>
      <w:r>
        <w:t xml:space="preserve"> </w:t>
      </w:r>
      <w:r>
        <w:t xml:space="preserve">opinion, policies, or media), and the First Amendment rule against coercing private speakers (</w:t>
      </w:r>
      <w:r>
        <w:rPr>
          <w:iCs/>
          <w:i/>
        </w:rPr>
        <w:t xml:space="preserve">National</w:t>
      </w:r>
      <w:r>
        <w:rPr>
          <w:iCs/>
          <w:i/>
        </w:rPr>
        <w:t xml:space="preserve"> </w:t>
      </w:r>
      <w:r>
        <w:rPr>
          <w:iCs/>
          <w:i/>
        </w:rPr>
        <w:t xml:space="preserve">Rifle Ass’n of America v. Vullo</w:t>
      </w:r>
      <w:r>
        <w:t xml:space="preserve">, 602 U.S. 175 (2024)). A claim under any of them depends on records.</w:t>
      </w:r>
      <w:r>
        <w:t xml:space="preserve"> </w:t>
      </w:r>
      <w:r>
        <w:t xml:space="preserve">This request is drawn to obtain them and to support a later search challenge (see</w:t>
      </w:r>
      <w:r>
        <w:t xml:space="preserve"> </w:t>
      </w:r>
      <w:r>
        <w:rPr>
          <w:iCs/>
          <w:i/>
        </w:rPr>
        <w:t xml:space="preserve">Slaughter v.</w:t>
      </w:r>
      <w:r>
        <w:rPr>
          <w:iCs/>
          <w:i/>
        </w:rPr>
        <w:t xml:space="preserve"> </w:t>
      </w:r>
      <w:r>
        <w:rPr>
          <w:iCs/>
          <w:i/>
        </w:rPr>
        <w:t xml:space="preserve">Department of the Air Force</w:t>
      </w:r>
      <w:r>
        <w:t xml:space="preserve">, 2026 WL 571249 (D.D.C. 2026), and</w:t>
      </w:r>
      <w:r>
        <w:t xml:space="preserve"> </w:t>
      </w:r>
      <w:hyperlink r:id="rId21">
        <w:r>
          <w:rPr>
            <w:rStyle w:val="Hyperlink"/>
          </w:rPr>
          <w:t xml:space="preserve">Form B1-2</w:t>
        </w:r>
      </w:hyperlink>
      <w:r>
        <w:t xml:space="preserve">). Send a separate request to</w:t>
      </w:r>
      <w:r>
        <w:t xml:space="preserve"> </w:t>
      </w:r>
      <w:r>
        <w:t xml:space="preserve">each component likely to hold records (public affairs, legislative affairs, AARO, and any</w:t>
      </w:r>
      <w:r>
        <w:t xml:space="preserve"> </w:t>
      </w:r>
      <w:r>
        <w:t xml:space="preserve">information-operations or influence component).</w:t>
      </w:r>
    </w:p>
    <w:p>
      <w:pPr>
        <w:pStyle w:val="BodyText"/>
        <w:spacing w:after="160" w:line="259" w:lineRule="auto"/>
      </w:pPr>
      <w:r>
        <w:rPr>
          <w:bCs/>
          <w:b/>
        </w:rPr>
        <w:t xml:space="preserve">When to use.</w:t>
      </w:r>
      <w:r>
        <w:t xml:space="preserve"> </w:t>
      </w:r>
      <w:r>
        <w:t xml:space="preserve">A FOIA request for records of government efforts to shape public perception of UAP.</w:t>
      </w:r>
      <w:r>
        <w:t xml:space="preserve"> </w:t>
      </w:r>
      <w:r>
        <w:rPr>
          <w:bCs/>
          <w:b/>
        </w:rPr>
        <w:t xml:space="preserve">Not for:</w:t>
      </w:r>
      <w:r>
        <w:t xml:space="preserve"> </w:t>
      </w:r>
      <w:r>
        <w:t xml:space="preserve">Records of specific events (</w:t>
      </w:r>
      <w:hyperlink r:id="rId22">
        <w:r>
          <w:rPr>
            <w:rStyle w:val="Hyperlink"/>
          </w:rPr>
          <w:t xml:space="preserve">Form B1-1</w:t>
        </w:r>
      </w:hyperlink>
      <w:r>
        <w:t xml:space="preserve">).</w:t>
      </w:r>
    </w:p>
    <w:p>
      <w:pPr>
        <w:pStyle w:val="BodyText"/>
        <w:spacing w:after="160" w:line="259" w:lineRule="auto"/>
      </w:pPr>
      <w:r>
        <w:rPr>
          <w:bCs/>
          <w:b/>
        </w:rPr>
        <w:t xml:space="preserve">Deadlines.</w:t>
      </w:r>
      <w:r>
        <w:t xml:space="preserve"> </w:t>
      </w:r>
      <w:r>
        <w:t xml:space="preserve">Determination within 20 working days (5 U.S.C. §552(a)(6)(A)(i)).</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[Date]</w:t>
      </w:r>
    </w:p>
    <w:p>
      <w:pPr>
        <w:pStyle w:val="BodyText"/>
      </w:pPr>
      <w:r>
        <w:t xml:space="preserve">VIA [agency FOIA portal / email]</w:t>
      </w:r>
    </w:p>
    <w:p>
      <w:pPr>
        <w:pStyle w:val="BodyText"/>
      </w:pPr>
      <w:r>
        <w:t xml:space="preserve">FOIA Officer</w:t>
      </w:r>
      <w:r>
        <w:br/>
      </w:r>
      <w:r>
        <w:t xml:space="preserve">[Agency and component]</w:t>
      </w:r>
      <w:r>
        <w:br/>
      </w:r>
      <w:r>
        <w:t xml:space="preserve">[Address]</w:t>
      </w:r>
    </w:p>
    <w:p>
      <w:pPr>
        <w:pStyle w:val="BodyText"/>
      </w:pPr>
      <w:r>
        <w:rPr>
          <w:bCs/>
          <w:b/>
        </w:rPr>
        <w:t xml:space="preserve">Re: Freedom of Information Act request: records concerning public perception of unidentified</w:t>
      </w:r>
      <w:r>
        <w:rPr>
          <w:bCs/>
          <w:b/>
        </w:rPr>
        <w:t xml:space="preserve"> </w:t>
      </w:r>
      <w:r>
        <w:rPr>
          <w:bCs/>
          <w:b/>
        </w:rPr>
        <w:t xml:space="preserve">anomalous phenomena and communications with media and online platforms</w:t>
      </w:r>
    </w:p>
    <w:p>
      <w:pPr>
        <w:pStyle w:val="BodyText"/>
      </w:pPr>
      <w:r>
        <w:t xml:space="preserve">Dear FOIA Officer:</w:t>
      </w:r>
    </w:p>
    <w:p>
      <w:pPr>
        <w:pStyle w:val="BodyText"/>
      </w:pPr>
      <w:r>
        <w:t xml:space="preserve">Under the Freedom of Information Act, 5 U.S.C. §552, I request the following records created or</w:t>
      </w:r>
      <w:r>
        <w:t xml:space="preserve"> </w:t>
      </w:r>
      <w:r>
        <w:t xml:space="preserve">received from [January 1, 2017] through the date of the search:</w:t>
      </w:r>
    </w:p>
    <w:p>
      <w:pPr>
        <w:numPr>
          <w:ilvl w:val="0"/>
          <w:numId w:val="1001"/>
        </w:numPr>
      </w:pPr>
      <w:r>
        <w:t xml:space="preserve">Plans, strategies, campaign documents, talking points, communication plans,</w:t>
      </w:r>
      <w:r>
        <w:t xml:space="preserve"> </w:t>
      </w:r>
      <w:r>
        <w:t xml:space="preserve">“</w:t>
      </w:r>
      <w:r>
        <w:t xml:space="preserve">response to query</w:t>
      </w:r>
      <w:r>
        <w:t xml:space="preserve">”</w:t>
      </w:r>
      <w:r>
        <w:t xml:space="preserve"> </w:t>
      </w:r>
      <w:r>
        <w:t xml:space="preserve">documents, and guidance concerning public messaging about unidentified anomalous phenomena (UAP),</w:t>
      </w:r>
      <w:r>
        <w:t xml:space="preserve"> </w:t>
      </w:r>
      <w:r>
        <w:t xml:space="preserve">unidentified aerial phenomena, unidentified flying objects, or non-human intelligence, including any</w:t>
      </w:r>
      <w:r>
        <w:t xml:space="preserve"> </w:t>
      </w:r>
      <w:r>
        <w:t xml:space="preserve">document that addresses how to respond to, characterize, or reduce public or media interest in those</w:t>
      </w:r>
      <w:r>
        <w:t xml:space="preserve"> </w:t>
      </w:r>
      <w:r>
        <w:t xml:space="preserve">subjects.</w:t>
      </w:r>
    </w:p>
    <w:p>
      <w:pPr>
        <w:numPr>
          <w:ilvl w:val="0"/>
          <w:numId w:val="1001"/>
        </w:numPr>
      </w:pPr>
      <w:r>
        <w:t xml:space="preserve">Records of any program, activity, contract, or task order whose purpose included influencing public,</w:t>
      </w:r>
      <w:r>
        <w:t xml:space="preserve"> </w:t>
      </w:r>
      <w:r>
        <w:t xml:space="preserve">media, or congressional perception of the subjects in item 1, including any public relations,</w:t>
      </w:r>
      <w:r>
        <w:t xml:space="preserve"> </w:t>
      </w:r>
      <w:r>
        <w:t xml:space="preserve">information operations, or</w:t>
      </w:r>
      <w:r>
        <w:t xml:space="preserve"> </w:t>
      </w:r>
      <w:r>
        <w:t xml:space="preserve">“</w:t>
      </w:r>
      <w:r>
        <w:t xml:space="preserve">narrative</w:t>
      </w:r>
      <w:r>
        <w:t xml:space="preserve">”</w:t>
      </w:r>
      <w:r>
        <w:t xml:space="preserve"> </w:t>
      </w:r>
      <w:r>
        <w:t xml:space="preserve">activity, and records reflecting legal review of any such</w:t>
      </w:r>
      <w:r>
        <w:t xml:space="preserve"> </w:t>
      </w:r>
      <w:r>
        <w:t xml:space="preserve">program under the appropriations ban on publicity or propaganda, the Smith-Mundt Act, or Executive</w:t>
      </w:r>
      <w:r>
        <w:t xml:space="preserve"> </w:t>
      </w:r>
      <w:r>
        <w:t xml:space="preserve">Order 12333.</w:t>
      </w:r>
    </w:p>
    <w:p>
      <w:pPr>
        <w:numPr>
          <w:ilvl w:val="0"/>
          <w:numId w:val="1001"/>
        </w:numPr>
      </w:pPr>
      <w:r>
        <w:t xml:space="preserve">Communications between agency personnel (or contractors acting for the agency) and any</w:t>
      </w:r>
      <w:r>
        <w:t xml:space="preserve"> </w:t>
      </w:r>
      <w:r>
        <w:t xml:space="preserve">journalist, news organization, publisher, film or television producer, or online platform (including</w:t>
      </w:r>
      <w:r>
        <w:t xml:space="preserve"> </w:t>
      </w:r>
      <w:r>
        <w:t xml:space="preserve">[list platforms]) concerning the subjects in item 1, including any request to remove, label, demote,</w:t>
      </w:r>
      <w:r>
        <w:t xml:space="preserve"> </w:t>
      </w:r>
      <w:r>
        <w:t xml:space="preserve">fact-check, or alter content, and any communication characterizing a named witness or researcher.</w:t>
      </w:r>
    </w:p>
    <w:p>
      <w:pPr>
        <w:numPr>
          <w:ilvl w:val="0"/>
          <w:numId w:val="1001"/>
        </w:numPr>
      </w:pPr>
      <w:r>
        <w:t xml:space="preserve">Records referring to any of the following individuals, in connection with the subjects in item 1:</w:t>
      </w:r>
      <w:r>
        <w:t xml:space="preserve"> </w:t>
      </w:r>
      <w:r>
        <w:t xml:space="preserve">[list names of witnesses or researchers who consent; attach signed consents or proof of death for</w:t>
      </w:r>
      <w:r>
        <w:t xml:space="preserve"> </w:t>
      </w:r>
      <w:r>
        <w:t xml:space="preserve">Privacy Act and Exemption 6/7(C) purposes].</w:t>
      </w:r>
    </w:p>
    <w:p>
      <w:pPr>
        <w:numPr>
          <w:ilvl w:val="0"/>
          <w:numId w:val="1001"/>
        </w:numPr>
      </w:pPr>
      <w:r>
        <w:t xml:space="preserve">Records of any surveillance, monitoring, or collection of information concerning private UAP</w:t>
      </w:r>
      <w:r>
        <w:t xml:space="preserve"> </w:t>
      </w:r>
      <w:r>
        <w:t xml:space="preserve">research organizations or witnesses, and records of any legal or oversight review of such activity.</w:t>
      </w:r>
    </w:p>
    <w:p>
      <w:pPr>
        <w:numPr>
          <w:ilvl w:val="0"/>
          <w:numId w:val="1001"/>
        </w:numPr>
      </w:pPr>
      <w:r>
        <w:t xml:space="preserve">Records of any review of public affairs products or activities concerning the subjects in item 1 for compliance</w:t>
      </w:r>
      <w:r>
        <w:t xml:space="preserve"> </w:t>
      </w:r>
      <w:r>
        <w:t xml:space="preserve">with DoD Directive 5122.05 (including the principles of information in §5.1, under which information may not be</w:t>
      </w:r>
      <w:r>
        <w:t xml:space="preserve"> </w:t>
      </w:r>
      <w:r>
        <w:t xml:space="preserve">withheld</w:t>
      </w:r>
      <w:r>
        <w:t xml:space="preserve"> </w:t>
      </w:r>
      <w:r>
        <w:t xml:space="preserve">“</w:t>
      </w:r>
      <w:r>
        <w:t xml:space="preserve">to protect the U.S. Government from criticism or embarrassment</w:t>
      </w:r>
      <w:r>
        <w:t xml:space="preserve">”</w:t>
      </w:r>
      <w:r>
        <w:t xml:space="preserve"> </w:t>
      </w:r>
      <w:r>
        <w:t xml:space="preserve">and</w:t>
      </w:r>
      <w:r>
        <w:t xml:space="preserve"> </w:t>
      </w:r>
      <w:r>
        <w:t xml:space="preserve">“</w:t>
      </w:r>
      <w:r>
        <w:t xml:space="preserve">propaganda has no place in DoD public</w:t>
      </w:r>
      <w:r>
        <w:t xml:space="preserve"> </w:t>
      </w:r>
      <w:r>
        <w:t xml:space="preserve">affairs programs</w:t>
      </w:r>
      <w:r>
        <w:t xml:space="preserve">”</w:t>
      </w:r>
      <w:r>
        <w:t xml:space="preserve">), the publicity-or-propaganda appropriations rider, or Executive Order 12333 §2.13, and any</w:t>
      </w:r>
      <w:r>
        <w:t xml:space="preserve"> </w:t>
      </w:r>
      <w:r>
        <w:t xml:space="preserve">complaint, inspector general referral, or legal opinion on that subject.</w:t>
      </w:r>
    </w:p>
    <w:p>
      <w:pPr>
        <w:pStyle w:val="FirstParagraph"/>
      </w:pPr>
      <w:r>
        <w:rPr>
          <w:bCs/>
          <w:b/>
        </w:rPr>
        <w:t xml:space="preserve">Search.</w:t>
      </w:r>
      <w:r>
        <w:t xml:space="preserve"> </w:t>
      </w:r>
      <w:r>
        <w:t xml:space="preserve">Please search using, at a minimum, the terms</w:t>
      </w:r>
      <w:r>
        <w:t xml:space="preserve"> </w:t>
      </w:r>
      <w:r>
        <w:t xml:space="preserve">“</w:t>
      </w:r>
      <w:r>
        <w:t xml:space="preserve">UAP,</w:t>
      </w:r>
      <w:r>
        <w:t xml:space="preserve">”</w:t>
      </w:r>
      <w:r>
        <w:t xml:space="preserve"> </w:t>
      </w:r>
      <w:r>
        <w:t xml:space="preserve">“</w:t>
      </w:r>
      <w:r>
        <w:t xml:space="preserve">unidentified anomalous phenomena,</w:t>
      </w:r>
      <w:r>
        <w:t xml:space="preserve">”</w:t>
      </w:r>
      <w:r>
        <w:t xml:space="preserve"> </w:t>
      </w:r>
      <w:r>
        <w:t xml:space="preserve">“</w:t>
      </w:r>
      <w:r>
        <w:t xml:space="preserve">unidentified aerial phenomena,</w:t>
      </w:r>
      <w:r>
        <w:t xml:space="preserve">”</w:t>
      </w:r>
      <w:r>
        <w:t xml:space="preserve"> </w:t>
      </w:r>
      <w:r>
        <w:t xml:space="preserve">“</w:t>
      </w:r>
      <w:r>
        <w:t xml:space="preserve">UFO,</w:t>
      </w:r>
      <w:r>
        <w:t xml:space="preserve">”</w:t>
      </w:r>
      <w:r>
        <w:t xml:space="preserve"> </w:t>
      </w:r>
      <w:r>
        <w:t xml:space="preserve">“</w:t>
      </w:r>
      <w:r>
        <w:t xml:space="preserve">unidentified flying object,</w:t>
      </w:r>
      <w:r>
        <w:t xml:space="preserve">”</w:t>
      </w:r>
      <w:r>
        <w:t xml:space="preserve"> </w:t>
      </w:r>
      <w:r>
        <w:t xml:space="preserve">“</w:t>
      </w:r>
      <w:r>
        <w:t xml:space="preserve">non-human intelligence,</w:t>
      </w:r>
      <w:r>
        <w:t xml:space="preserve">”</w:t>
      </w:r>
      <w:r>
        <w:t xml:space="preserve"> </w:t>
      </w:r>
      <w:r>
        <w:t xml:space="preserve">“</w:t>
      </w:r>
      <w:r>
        <w:t xml:space="preserve">NHI,</w:t>
      </w:r>
      <w:r>
        <w:t xml:space="preserve">”</w:t>
      </w:r>
      <w:r>
        <w:t xml:space="preserve"> </w:t>
      </w:r>
      <w:r>
        <w:t xml:space="preserve">and</w:t>
      </w:r>
      <w:r>
        <w:t xml:space="preserve"> </w:t>
      </w:r>
      <w:r>
        <w:t xml:space="preserve">“</w:t>
      </w:r>
      <w:r>
        <w:t xml:space="preserve">AARO,</w:t>
      </w:r>
      <w:r>
        <w:t xml:space="preserve">”</w:t>
      </w:r>
      <w:r>
        <w:t xml:space="preserve"> </w:t>
      </w:r>
      <w:r>
        <w:t xml:space="preserve">combined where appropriate with</w:t>
      </w:r>
      <w:r>
        <w:t xml:space="preserve"> </w:t>
      </w:r>
      <w:r>
        <w:t xml:space="preserve">“</w:t>
      </w:r>
      <w:r>
        <w:t xml:space="preserve">media,</w:t>
      </w:r>
      <w:r>
        <w:t xml:space="preserve">”</w:t>
      </w:r>
      <w:r>
        <w:t xml:space="preserve"> </w:t>
      </w:r>
      <w:r>
        <w:t xml:space="preserve">“</w:t>
      </w:r>
      <w:r>
        <w:t xml:space="preserve">press,</w:t>
      </w:r>
      <w:r>
        <w:t xml:space="preserve">”</w:t>
      </w:r>
      <w:r>
        <w:t xml:space="preserve"> </w:t>
      </w:r>
      <w:r>
        <w:t xml:space="preserve">“</w:t>
      </w:r>
      <w:r>
        <w:t xml:space="preserve">messaging,</w:t>
      </w:r>
      <w:r>
        <w:t xml:space="preserve">”</w:t>
      </w:r>
      <w:r>
        <w:t xml:space="preserve"> </w:t>
      </w:r>
      <w:r>
        <w:t xml:space="preserve">“</w:t>
      </w:r>
      <w:r>
        <w:t xml:space="preserve">narrative,</w:t>
      </w:r>
      <w:r>
        <w:t xml:space="preserve">”</w:t>
      </w:r>
      <w:r>
        <w:t xml:space="preserve"> </w:t>
      </w:r>
      <w:r>
        <w:t xml:space="preserve">“</w:t>
      </w:r>
      <w:r>
        <w:t xml:space="preserve">talking points,</w:t>
      </w:r>
      <w:r>
        <w:t xml:space="preserve">”</w:t>
      </w:r>
      <w:r>
        <w:t xml:space="preserve"> </w:t>
      </w:r>
      <w:r>
        <w:t xml:space="preserve">“</w:t>
      </w:r>
      <w:r>
        <w:t xml:space="preserve">platform,</w:t>
      </w:r>
      <w:r>
        <w:t xml:space="preserve">”</w:t>
      </w:r>
      <w:r>
        <w:t xml:space="preserve"> </w:t>
      </w:r>
      <w:r>
        <w:t xml:space="preserve">“</w:t>
      </w:r>
      <w:r>
        <w:t xml:space="preserve">influence,</w:t>
      </w:r>
      <w:r>
        <w:t xml:space="preserve">”</w:t>
      </w:r>
      <w:r>
        <w:t xml:space="preserve"> </w:t>
      </w:r>
      <w:r>
        <w:t xml:space="preserve">and the names in item 4. Please search email, messaging</w:t>
      </w:r>
      <w:r>
        <w:t xml:space="preserve"> </w:t>
      </w:r>
      <w:r>
        <w:t xml:space="preserve">applications used for official business, shared drives, and records of the public affairs office,</w:t>
      </w:r>
      <w:r>
        <w:t xml:space="preserve"> </w:t>
      </w:r>
      <w:r>
        <w:t xml:space="preserve">[component], and any office responsible for information operations. If you use different terms,</w:t>
      </w:r>
      <w:r>
        <w:t xml:space="preserve"> </w:t>
      </w:r>
      <w:r>
        <w:t xml:space="preserve">please tell me what they are.</w:t>
      </w:r>
    </w:p>
    <w:p>
      <w:pPr>
        <w:pStyle w:val="BodyText"/>
      </w:pPr>
      <w:r>
        <w:rPr>
          <w:bCs/>
          <w:b/>
        </w:rPr>
        <w:t xml:space="preserve">Segregability and Glomar.</w:t>
      </w:r>
      <w:r>
        <w:t xml:space="preserve"> </w:t>
      </w:r>
      <w:r>
        <w:t xml:space="preserve">If any record is withheld in part, please release all reasonably</w:t>
      </w:r>
      <w:r>
        <w:t xml:space="preserve"> </w:t>
      </w:r>
      <w:r>
        <w:t xml:space="preserve">segregable portions. If you decline to confirm or deny the existence of records for any item, please</w:t>
      </w:r>
      <w:r>
        <w:t xml:space="preserve"> </w:t>
      </w:r>
      <w:r>
        <w:t xml:space="preserve">state the item and the basis, so that I may evaluate whether the fact of existence has been officially</w:t>
      </w:r>
      <w:r>
        <w:t xml:space="preserve"> </w:t>
      </w:r>
      <w:r>
        <w:t xml:space="preserve">acknowledged.</w:t>
      </w:r>
    </w:p>
    <w:p>
      <w:pPr>
        <w:pStyle w:val="BodyText"/>
      </w:pPr>
      <w:r>
        <w:rPr>
          <w:bCs/>
          <w:b/>
        </w:rPr>
        <w:t xml:space="preserve">Fees.</w:t>
      </w:r>
      <w:r>
        <w:t xml:space="preserve"> </w:t>
      </w:r>
      <w:r>
        <w:t xml:space="preserve">I am a [representative of the news media / educational or noncommercial scientific</w:t>
      </w:r>
      <w:r>
        <w:t xml:space="preserve"> </w:t>
      </w:r>
      <w:r>
        <w:t xml:space="preserve">requester / other requester]. I request a fee waiver under 5 U.S.C. §552(a)(4)(A)(iii) because</w:t>
      </w:r>
      <w:r>
        <w:t xml:space="preserve"> </w:t>
      </w:r>
      <w:r>
        <w:t xml:space="preserve">disclosure is in the public interest: it is likely to contribute significantly to public understanding</w:t>
      </w:r>
      <w:r>
        <w:t xml:space="preserve"> </w:t>
      </w:r>
      <w:r>
        <w:t xml:space="preserve">of whether the government has sought to shape public perception of a subject that Congress has</w:t>
      </w:r>
      <w:r>
        <w:t xml:space="preserve"> </w:t>
      </w:r>
      <w:r>
        <w:t xml:space="preserve">legislated on repeatedly (see 50 U.S.C. §3373; Pub. L. No. 118-31, §§1841-1843), and I have no</w:t>
      </w:r>
      <w:r>
        <w:t xml:space="preserve"> </w:t>
      </w:r>
      <w:r>
        <w:t xml:space="preserve">commercial interest. [Describe ability to disseminate.] If the waiver is denied, I agree to pay fees</w:t>
      </w:r>
      <w:r>
        <w:t xml:space="preserve"> </w:t>
      </w:r>
      <w:r>
        <w:t xml:space="preserve">up to $[__] and ask to be told before fees exceed that amount.</w:t>
      </w:r>
    </w:p>
    <w:p>
      <w:pPr>
        <w:pStyle w:val="BodyText"/>
      </w:pPr>
      <w:r>
        <w:rPr>
          <w:bCs/>
          <w:b/>
        </w:rPr>
        <w:t xml:space="preserve">Expedition</w:t>
      </w:r>
      <w:r>
        <w:t xml:space="preserve"> </w:t>
      </w:r>
      <w:r>
        <w:t xml:space="preserve">[if applicable]: I request expedited processing under 5 U.S.C. §552(a)(6)(E) because</w:t>
      </w:r>
      <w:r>
        <w:t xml:space="preserve"> </w:t>
      </w:r>
      <w:r>
        <w:t xml:space="preserve">[I am primarily engaged in disseminating information and there is an urgency to inform the public</w:t>
      </w:r>
      <w:r>
        <w:t xml:space="preserve"> </w:t>
      </w:r>
      <w:r>
        <w:t xml:space="preserve">about actual or alleged federal government activity]. I certify that this statement is true and</w:t>
      </w:r>
      <w:r>
        <w:t xml:space="preserve"> </w:t>
      </w:r>
      <w:r>
        <w:t xml:space="preserve">correct to the best of my knowledge and belief.</w:t>
      </w:r>
    </w:p>
    <w:p>
      <w:pPr>
        <w:pStyle w:val="BodyText"/>
      </w:pPr>
      <w:r>
        <w:t xml:space="preserve">Please provide records in electronic form. Contact me at [phone/email] with questions about scope.</w:t>
      </w:r>
    </w:p>
    <w:p>
      <w:pPr>
        <w:pStyle w:val="BodyText"/>
      </w:pPr>
      <w:r>
        <w:t xml:space="preserve">Sincerely,</w:t>
      </w:r>
      <w:r>
        <w:br/>
      </w:r>
      <w:r>
        <w:t xml:space="preserve">[Name, organization, contact]</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4" w:name="drafting-notes"/>
    <w:p>
      <w:pPr>
        <w:pStyle w:val="Heading2"/>
      </w:pPr>
      <w:r>
        <w:t xml:space="preserve">Drafting notes</w:t>
      </w:r>
    </w:p>
    <w:p>
      <w:pPr>
        <w:pStyle w:val="Compact"/>
        <w:numPr>
          <w:ilvl w:val="0"/>
          <w:numId w:val="1002"/>
        </w:numPr>
      </w:pPr>
      <w:r>
        <w:rPr>
          <w:bCs/>
          <w:b/>
        </w:rPr>
        <w:t xml:space="preserve">Consents.</w:t>
      </w:r>
      <w:r>
        <w:t xml:space="preserve"> </w:t>
      </w:r>
      <w:r>
        <w:t xml:space="preserve">For item 4, obtain each living individual’s signed consent (DOJ form DOJ-361 or</w:t>
      </w:r>
      <w:r>
        <w:t xml:space="preserve"> </w:t>
      </w:r>
      <w:r>
        <w:t xml:space="preserve">equivalent) so that privacy exemptions do not bar release of records about them.</w:t>
      </w:r>
    </w:p>
    <w:p>
      <w:pPr>
        <w:pStyle w:val="Compact"/>
        <w:numPr>
          <w:ilvl w:val="0"/>
          <w:numId w:val="1002"/>
        </w:numPr>
      </w:pPr>
      <w:r>
        <w:rPr>
          <w:bCs/>
          <w:b/>
        </w:rPr>
        <w:t xml:space="preserve">Narrowing.</w:t>
      </w:r>
      <w:r>
        <w:t xml:space="preserve"> </w:t>
      </w:r>
      <w:r>
        <w:t xml:space="preserve">If the agency says the request is too broad, offer to start with items 1 and 3 for a</w:t>
      </w:r>
      <w:r>
        <w:t xml:space="preserve"> </w:t>
      </w:r>
      <w:r>
        <w:t xml:space="preserve">shorter period. Keep the search terms.</w:t>
      </w:r>
    </w:p>
    <w:p>
      <w:pPr>
        <w:pStyle w:val="Compact"/>
        <w:numPr>
          <w:ilvl w:val="0"/>
          <w:numId w:val="1002"/>
        </w:numPr>
      </w:pPr>
      <w:r>
        <w:rPr>
          <w:bCs/>
          <w:b/>
        </w:rPr>
        <w:t xml:space="preserve">Use of results.</w:t>
      </w:r>
      <w:r>
        <w:t xml:space="preserve"> </w:t>
      </w:r>
      <w:r>
        <w:t xml:space="preserve">Records showing coercive requests to platforms support a</w:t>
      </w:r>
      <w:r>
        <w:t xml:space="preserve"> </w:t>
      </w:r>
      <w:r>
        <w:rPr>
          <w:iCs/>
          <w:i/>
        </w:rPr>
        <w:t xml:space="preserve">Vullo</w:t>
      </w:r>
      <w:r>
        <w:t xml:space="preserve"> </w:t>
      </w:r>
      <w:r>
        <w:t xml:space="preserve">claim (</w:t>
      </w:r>
      <w:hyperlink r:id="rId20">
        <w:r>
          <w:rPr>
            <w:rStyle w:val="Hyperlink"/>
          </w:rPr>
          <w:t xml:space="preserve">Issue F4</w:t>
        </w:r>
      </w:hyperlink>
      <w:r>
        <w:t xml:space="preserve">).</w:t>
      </w:r>
      <w:r>
        <w:t xml:space="preserve"> </w:t>
      </w:r>
      <w:r>
        <w:t xml:space="preserve">Records of domestic influence activity by an intelligence element may be reportable to the</w:t>
      </w:r>
      <w:r>
        <w:t xml:space="preserve"> </w:t>
      </w:r>
      <w:r>
        <w:t xml:space="preserve">intelligence committees and the inspector general. Records of undisclosed government sourcing of</w:t>
      </w:r>
      <w:r>
        <w:t xml:space="preserve"> </w:t>
      </w:r>
      <w:r>
        <w:t xml:space="preserve">public material may support a request for a GAO decision under the propaganda rider (</w:t>
      </w:r>
      <w:hyperlink r:id="rId23">
        <w:r>
          <w:rPr>
            <w:rStyle w:val="Hyperlink"/>
          </w:rPr>
          <w:t xml:space="preserve">Form F4-2</w:t>
        </w:r>
      </w:hyperlink>
      <w:r>
        <w:t xml:space="preserve">).</w:t>
      </w:r>
    </w:p>
    <w:p>
      <w:pPr>
        <w:pStyle w:val="Compact"/>
        <w:numPr>
          <w:ilvl w:val="0"/>
          <w:numId w:val="1002"/>
        </w:numPr>
      </w:pPr>
      <w:r>
        <w:t xml:space="preserve">Related: Issues F4, B1; Forms B1-1, B1-2, F4-2.</w:t>
      </w:r>
    </w:p>
    <w:bookmarkEnd w:id="24"/>
    <w:bookmarkEnd w:id="25"/>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2" Type="http://schemas.openxmlformats.org/officeDocument/2006/relationships/hyperlink" Target="https://nhilaw.com/forms/b1-1.html" TargetMode="External"/><Relationship Id="rId21" Type="http://schemas.openxmlformats.org/officeDocument/2006/relationships/hyperlink" Target="https://nhilaw.com/forms/b1-2.html" TargetMode="External"/><Relationship Id="rId23" Type="http://schemas.openxmlformats.org/officeDocument/2006/relationships/hyperlink" Target="https://nhilaw.com/forms/f4-2.html" TargetMode="External"/><Relationship Id="rId20" Type="http://schemas.openxmlformats.org/officeDocument/2006/relationships/hyperlink" Target="https://nhilaw.com/issues/f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2" Type="http://schemas.openxmlformats.org/officeDocument/2006/relationships/hyperlink" Target="https://nhilaw.com/forms/b1-1.html" TargetMode="External"/><Relationship Id="rId21" Type="http://schemas.openxmlformats.org/officeDocument/2006/relationships/hyperlink" Target="https://nhilaw.com/forms/b1-2.html" TargetMode="External"/><Relationship Id="rId23" Type="http://schemas.openxmlformats.org/officeDocument/2006/relationships/hyperlink" Target="https://nhilaw.com/forms/f4-2.html" TargetMode="External"/><Relationship Id="rId20" Type="http://schemas.openxmlformats.org/officeDocument/2006/relationships/hyperlink" Target="https://nhilaw.com/issues/f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F4-1. FOIA Request for Records of UAP Public-Perception Programs and Communications with Media and Online Platforms</dc:title>
  <dc:creator>nhilaw.com</dc:creator>
  <cp:keywords/>
  <dcterms:created xsi:type="dcterms:W3CDTF">2026-10-19T03:15:09Z</dcterms:created>
  <dcterms:modified xsi:type="dcterms:W3CDTF">2026-10-19T03:15:09Z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