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de12e822c5872218e9b7c6593d6c255bb56edd1"/>
    <w:p>
      <w:pPr>
        <w:pStyle w:val="Heading1"/>
      </w:pPr>
      <w:r>
        <w:t xml:space="preserve">Form F4-2. Request to the Comptroller General for a Decision on Whether UAP-Related Public Communications Violated the Publicity or Propaganda Prohibition</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https://nhilaw.com/forms/f4-2.html</w:t>
      </w:r>
    </w:p>
    <w:p>
      <w:pPr>
        <w:pStyle w:val="BodyText"/>
        <w:spacing w:after="160" w:line="259" w:lineRule="auto"/>
      </w:pPr>
      <w:r>
        <w:rPr>
          <w:bCs/>
          <w:b/>
        </w:rPr>
        <w:t xml:space="preserve">Use.</w:t>
      </w:r>
      <w:r>
        <w:t xml:space="preserve"> </w:t>
      </w:r>
      <w:r>
        <w:t xml:space="preserve">GAO issues decisions on the propaganda prohibition, typically at the request of Members of</w:t>
      </w:r>
      <w:r>
        <w:t xml:space="preserve"> </w:t>
      </w:r>
      <w:r>
        <w:t xml:space="preserve">Congress, and has read it to bar self-aggrandizement, purely partisan material, and covert</w:t>
      </w:r>
      <w:r>
        <w:t xml:space="preserve"> </w:t>
      </w:r>
      <w:r>
        <w:t xml:space="preserve">propaganda, meaning material whose government origin is concealed from its audience (</w:t>
      </w:r>
      <w:hyperlink r:id="rId20">
        <w:r>
          <w:rPr>
            <w:rStyle w:val="Hyperlink"/>
          </w:rPr>
          <w:t xml:space="preserve">Issue F4</w:t>
        </w:r>
      </w:hyperlink>
      <w:r>
        <w:t xml:space="preserve">).</w:t>
      </w:r>
      <w:r>
        <w:t xml:space="preserve"> </w:t>
      </w:r>
      <w:r>
        <w:t xml:space="preserve">A violation of an appropriations restriction can also be a violation of the Antideficiency Act, 31</w:t>
      </w:r>
      <w:r>
        <w:t xml:space="preserve"> </w:t>
      </w:r>
      <w:r>
        <w:t xml:space="preserve">U.S.C. §1341(a), which agencies must report. Private parties cannot obtain a GAO decision directly, so</w:t>
      </w:r>
      <w:r>
        <w:t xml:space="preserve"> </w:t>
      </w:r>
      <w:r>
        <w:t xml:space="preserve">this letter is written for a congressional office. Attach the records that support it (for example,</w:t>
      </w:r>
      <w:r>
        <w:t xml:space="preserve"> </w:t>
      </w:r>
      <w:r>
        <w:t xml:space="preserve">records obtained with</w:t>
      </w:r>
      <w:r>
        <w:t xml:space="preserve"> </w:t>
      </w:r>
      <w:hyperlink r:id="rId21">
        <w:r>
          <w:rPr>
            <w:rStyle w:val="Hyperlink"/>
          </w:rPr>
          <w:t xml:space="preserve">Form F4-1</w:t>
        </w:r>
      </w:hyperlink>
      <w:r>
        <w:t xml:space="preserve">).</w:t>
      </w:r>
    </w:p>
    <w:p>
      <w:pPr>
        <w:pStyle w:val="BodyText"/>
        <w:spacing w:after="160" w:line="259" w:lineRule="auto"/>
      </w:pPr>
      <w:r>
        <w:rPr>
          <w:bCs/>
          <w:b/>
        </w:rPr>
        <w:t xml:space="preserve">When to use.</w:t>
      </w:r>
      <w:r>
        <w:t xml:space="preserve"> </w:t>
      </w:r>
      <w:r>
        <w:t xml:space="preserve">A Member or committee asking GAO to decide whether UAP-related public communications violated the propaganda rider.</w:t>
      </w:r>
      <w:r>
        <w:t xml:space="preserve"> </w:t>
      </w:r>
      <w:r>
        <w:rPr>
          <w:bCs/>
          <w:b/>
        </w:rPr>
        <w:t xml:space="preserve">Not for:</w:t>
      </w:r>
      <w:r>
        <w:t xml:space="preserve"> </w:t>
      </w:r>
      <w:r>
        <w:t xml:space="preserve">Private persons; GAO issues appropriations-law decisions at the request of agency officials and Members of Congress, so a private person should ask a Member to send the letter.</w:t>
      </w:r>
    </w:p>
    <w:p>
      <w:pPr>
        <w:pStyle w:val="BodyText"/>
        <w:spacing w:after="160" w:line="259" w:lineRule="auto"/>
      </w:pPr>
      <w:r>
        <w:rPr>
          <w:bCs/>
          <w:b/>
        </w:rPr>
        <w:t xml:space="preserve">Deadlines.</w:t>
      </w:r>
      <w:r>
        <w:t xml:space="preserve"> </w:t>
      </w:r>
      <w:r>
        <w:t xml:space="preserve">None; cite the appropriations act in force for the period at issue.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[Congressional letterhead]</w:t>
      </w:r>
    </w:p>
    <w:p>
      <w:pPr>
        <w:pStyle w:val="BodyText"/>
      </w:pPr>
      <w:r>
        <w:t xml:space="preserve">[Date]</w:t>
      </w:r>
    </w:p>
    <w:p>
      <w:pPr>
        <w:pStyle w:val="BodyText"/>
      </w:pPr>
      <w:r>
        <w:t xml:space="preserve">The Honorable [Name]</w:t>
      </w:r>
      <w:r>
        <w:br/>
      </w:r>
      <w:r>
        <w:t xml:space="preserve">Comptroller General of the United States</w:t>
      </w:r>
      <w:r>
        <w:br/>
      </w:r>
      <w:r>
        <w:t xml:space="preserve">U.S. Government Accountability Office</w:t>
      </w:r>
      <w:r>
        <w:br/>
      </w:r>
      <w:r>
        <w:t xml:space="preserve">441 G Street NW</w:t>
      </w:r>
      <w:r>
        <w:br/>
      </w:r>
      <w:r>
        <w:t xml:space="preserve">Washington, DC 20548</w:t>
      </w:r>
    </w:p>
    <w:p>
      <w:pPr>
        <w:pStyle w:val="BodyText"/>
      </w:pPr>
      <w:r>
        <w:t xml:space="preserve">Attn: Office of the General Counsel, Appropriations Law</w:t>
      </w:r>
    </w:p>
    <w:p>
      <w:pPr>
        <w:pStyle w:val="BodyText"/>
      </w:pPr>
      <w:r>
        <w:t xml:space="preserve">Dear Comptroller General [Name]:</w:t>
      </w:r>
    </w:p>
    <w:p>
      <w:pPr>
        <w:pStyle w:val="BodyText"/>
      </w:pPr>
      <w:r>
        <w:t xml:space="preserve">I request a legal decision on whether [agency] violated the prohibition on the use of appropriated</w:t>
      </w:r>
      <w:r>
        <w:t xml:space="preserve"> </w:t>
      </w:r>
      <w:r>
        <w:t xml:space="preserve">funds</w:t>
      </w:r>
      <w:r>
        <w:t xml:space="preserve"> </w:t>
      </w:r>
      <w:r>
        <w:t xml:space="preserve">“</w:t>
      </w:r>
      <w:r>
        <w:t xml:space="preserve">for publicity or propaganda purposes within the United States not heretofore authorized by</w:t>
      </w:r>
      <w:r>
        <w:t xml:space="preserve"> </w:t>
      </w:r>
      <w:r>
        <w:t xml:space="preserve">Congress,</w:t>
      </w:r>
      <w:r>
        <w:t xml:space="preserve">”</w:t>
      </w:r>
      <w:r>
        <w:t xml:space="preserve"> </w:t>
      </w:r>
      <w:r>
        <w:t xml:space="preserve">Consolidated Appropriations Act, 2026, Pub. L. No. 119-75, div. E, §718, 140 Stat. 173, 495</w:t>
      </w:r>
      <w:r>
        <w:t xml:space="preserve"> </w:t>
      </w:r>
      <w:r>
        <w:t xml:space="preserve">[and the corresponding provision of the act in effect for the fiscal year in which the activity</w:t>
      </w:r>
      <w:r>
        <w:t xml:space="preserve"> </w:t>
      </w:r>
      <w:r>
        <w:t xml:space="preserve">occurred], and, if so, whether [agency] also violated the Antideficiency Act.</w:t>
      </w:r>
    </w:p>
    <w:p>
      <w:pPr>
        <w:pStyle w:val="BodyText"/>
      </w:pPr>
      <w:r>
        <w:rPr>
          <w:bCs/>
          <w:b/>
        </w:rPr>
        <w:t xml:space="preserve">Background.</w:t>
      </w:r>
      <w:r>
        <w:t xml:space="preserve"> </w:t>
      </w:r>
      <w:r>
        <w:t xml:space="preserve">Congress has legislated repeatedly concerning unidentified anomalous phenomena (UAP),</w:t>
      </w:r>
      <w:r>
        <w:t xml:space="preserve"> </w:t>
      </w:r>
      <w:r>
        <w:t xml:space="preserve">including by establishing the All-domain Anomaly Resolution Office, 50 U.S.C. §3373, by creating a</w:t>
      </w:r>
      <w:r>
        <w:t xml:space="preserve"> </w:t>
      </w:r>
      <w:r>
        <w:t xml:space="preserve">protected channel for reporting UAP-related information, 50 U.S.C. §3373b, and by requiring the</w:t>
      </w:r>
      <w:r>
        <w:t xml:space="preserve"> </w:t>
      </w:r>
      <w:r>
        <w:t xml:space="preserve">collection and review of UAP records, Pub. L. No. 118-31, §§1841-1843. Congress has not authorized any</w:t>
      </w:r>
      <w:r>
        <w:t xml:space="preserve"> </w:t>
      </w:r>
      <w:r>
        <w:t xml:space="preserve">agency to conduct campaigns to shape public opinion about UAP or about individuals who report UAP</w:t>
      </w:r>
      <w:r>
        <w:t xml:space="preserve"> </w:t>
      </w:r>
      <w:r>
        <w:t xml:space="preserve">information.</w:t>
      </w:r>
    </w:p>
    <w:p>
      <w:pPr>
        <w:pStyle w:val="BodyText"/>
      </w:pPr>
      <w:r>
        <w:rPr>
          <w:bCs/>
          <w:b/>
        </w:rPr>
        <w:t xml:space="preserve">Facts.</w:t>
      </w:r>
      <w:r>
        <w:t xml:space="preserve"> </w:t>
      </w:r>
      <w:r>
        <w:t xml:space="preserve">Records obtained by [source] indicate that [describe concisely, citing attached records]:</w:t>
      </w:r>
      <w:r>
        <w:t xml:space="preserve"> </w:t>
      </w:r>
      <w:r>
        <w:t xml:space="preserve">1. [e.g.,</w:t>
      </w:r>
      <w:r>
        <w:t xml:space="preserve"> </w:t>
      </w:r>
      <w:r>
        <w:t xml:space="preserve">“</w:t>
      </w:r>
      <w:r>
        <w:t xml:space="preserve">From [date] to [date], [agency] paid [contractor] $[__] under contract no. [__] to prepare</w:t>
      </w:r>
      <w:r>
        <w:t xml:space="preserve"> </w:t>
      </w:r>
      <w:r>
        <w:t xml:space="preserve">articles and video segments concerning UAP that were distributed to [outlets] without attribution</w:t>
      </w:r>
      <w:r>
        <w:t xml:space="preserve"> </w:t>
      </w:r>
      <w:r>
        <w:t xml:space="preserve">to the agency.</w:t>
      </w:r>
      <w:r>
        <w:t xml:space="preserve">”</w:t>
      </w:r>
      <w:r>
        <w:t xml:space="preserve">]</w:t>
      </w:r>
      <w:r>
        <w:t xml:space="preserve"> </w:t>
      </w:r>
      <w:r>
        <w:t xml:space="preserve">2. [e.g.,</w:t>
      </w:r>
      <w:r>
        <w:t xml:space="preserve"> </w:t>
      </w:r>
      <w:r>
        <w:t xml:space="preserve">“</w:t>
      </w:r>
      <w:r>
        <w:t xml:space="preserve">Agency personnel provided prepared text to [outlet] that was published as the outlet’s own</w:t>
      </w:r>
      <w:r>
        <w:t xml:space="preserve"> </w:t>
      </w:r>
      <w:r>
        <w:t xml:space="preserve">reporting.</w:t>
      </w:r>
      <w:r>
        <w:t xml:space="preserve">”</w:t>
      </w:r>
      <w:r>
        <w:t xml:space="preserve">]</w:t>
      </w:r>
      <w:r>
        <w:t xml:space="preserve"> </w:t>
      </w:r>
      <w:r>
        <w:t xml:space="preserve">3. [e.g.,</w:t>
      </w:r>
      <w:r>
        <w:t xml:space="preserve"> </w:t>
      </w:r>
      <w:r>
        <w:t xml:space="preserve">“</w:t>
      </w:r>
      <w:r>
        <w:t xml:space="preserve">Agency communications characterized named witnesses as [__] in material distributed to the</w:t>
      </w:r>
      <w:r>
        <w:t xml:space="preserve"> </w:t>
      </w:r>
      <w:r>
        <w:t xml:space="preserve">public.</w:t>
      </w:r>
      <w:r>
        <w:t xml:space="preserve">”</w:t>
      </w:r>
      <w:r>
        <w:t xml:space="preserve">]</w:t>
      </w:r>
    </w:p>
    <w:p>
      <w:pPr>
        <w:pStyle w:val="BodyText"/>
      </w:pPr>
      <w:r>
        <w:rPr>
          <w:bCs/>
          <w:b/>
        </w:rPr>
        <w:t xml:space="preserve">Questions.</w:t>
      </w:r>
      <w:r>
        <w:t xml:space="preserve"> </w:t>
      </w:r>
      <w:r>
        <w:t xml:space="preserve">Please address:</w:t>
      </w:r>
      <w:r>
        <w:t xml:space="preserve"> </w:t>
      </w:r>
      <w:r>
        <w:t xml:space="preserve">1. Whether the activities described were</w:t>
      </w:r>
      <w:r>
        <w:t xml:space="preserve"> </w:t>
      </w:r>
      <w:r>
        <w:t xml:space="preserve">“</w:t>
      </w:r>
      <w:r>
        <w:t xml:space="preserve">publicity or propaganda</w:t>
      </w:r>
      <w:r>
        <w:t xml:space="preserve">”</w:t>
      </w:r>
      <w:r>
        <w:t xml:space="preserve"> </w:t>
      </w:r>
      <w:r>
        <w:t xml:space="preserve">within the meaning of §718, in</w:t>
      </w:r>
      <w:r>
        <w:t xml:space="preserve"> </w:t>
      </w:r>
      <w:r>
        <w:t xml:space="preserve">particular whether they constituted covert propaganda because the agency’s role was concealed from</w:t>
      </w:r>
      <w:r>
        <w:t xml:space="preserve"> </w:t>
      </w:r>
      <w:r>
        <w:t xml:space="preserve">the intended audience.</w:t>
      </w:r>
      <w:r>
        <w:t xml:space="preserve"> </w:t>
      </w:r>
      <w:r>
        <w:t xml:space="preserve">2. Whether the activities were otherwise authorized by Congress.</w:t>
      </w:r>
      <w:r>
        <w:t xml:space="preserve"> </w:t>
      </w:r>
      <w:r>
        <w:t xml:space="preserve">3. Whether any obligation or expenditure for them violated the Antideficiency Act, and, if so, whether</w:t>
      </w:r>
      <w:r>
        <w:t xml:space="preserve"> </w:t>
      </w:r>
      <w:r>
        <w:t xml:space="preserve">[agency] has reported the violation as 31 U.S.C. §1351 requires.</w:t>
      </w:r>
      <w:r>
        <w:t xml:space="preserve"> </w:t>
      </w:r>
      <w:r>
        <w:t xml:space="preserve">4. What appropriation was charged, and in what amounts.</w:t>
      </w:r>
    </w:p>
    <w:p>
      <w:pPr>
        <w:pStyle w:val="BodyText"/>
      </w:pPr>
      <w:r>
        <w:t xml:space="preserve">I ask that GAO obtain [agency]’s views and the relevant contract, financial, and communications</w:t>
      </w:r>
      <w:r>
        <w:t xml:space="preserve"> </w:t>
      </w:r>
      <w:r>
        <w:t xml:space="preserve">records, including any classified annex, and that GAO prepare an unclassified decision suitable for</w:t>
      </w:r>
      <w:r>
        <w:t xml:space="preserve"> </w:t>
      </w:r>
      <w:r>
        <w:t xml:space="preserve">public release.</w:t>
      </w:r>
    </w:p>
    <w:p>
      <w:pPr>
        <w:pStyle w:val="BodyText"/>
      </w:pPr>
      <w:r>
        <w:t xml:space="preserve">Please contact [staff name, phone, email] with questions.</w:t>
      </w:r>
    </w:p>
    <w:p>
      <w:pPr>
        <w:pStyle w:val="BodyText"/>
      </w:pPr>
      <w:r>
        <w:t xml:space="preserve">Sincerely,</w:t>
      </w:r>
    </w:p>
    <w:p>
      <w:pPr>
        <w:pStyle w:val="BodyText"/>
      </w:pPr>
      <w:r>
        <w:t xml:space="preserve">[Member of Congress]</w:t>
      </w:r>
    </w:p>
    <w:p>
      <w:pPr>
        <w:pStyle w:val="BodyText"/>
      </w:pPr>
      <w:r>
        <w:t xml:space="preserve">Enclosures: [list]</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rPr>
          <w:bCs/>
          <w:b/>
        </w:rPr>
        <w:t xml:space="preserve">Covert propaganda is the strongest theory.</w:t>
      </w:r>
      <w:r>
        <w:t xml:space="preserve"> </w:t>
      </w:r>
      <w:r>
        <w:t xml:space="preserve">GAO’s covert propaganda test focuses on concealment of</w:t>
      </w:r>
      <w:r>
        <w:t xml:space="preserve"> </w:t>
      </w:r>
      <w:r>
        <w:t xml:space="preserve">the government’s role from the audience. Materials the agency openly attributed to itself are much</w:t>
      </w:r>
      <w:r>
        <w:t xml:space="preserve"> </w:t>
      </w:r>
      <w:r>
        <w:t xml:space="preserve">harder to reach under the rider even if they are one-sided.</w:t>
      </w:r>
    </w:p>
    <w:p>
      <w:pPr>
        <w:pStyle w:val="Compact"/>
        <w:numPr>
          <w:ilvl w:val="0"/>
          <w:numId w:val="1001"/>
        </w:numPr>
      </w:pPr>
      <w:r>
        <w:rPr>
          <w:bCs/>
          <w:b/>
        </w:rPr>
        <w:t xml:space="preserve">Intelligence elements.</w:t>
      </w:r>
      <w:r>
        <w:t xml:space="preserve"> </w:t>
      </w:r>
      <w:r>
        <w:t xml:space="preserve">If the activity was conducted by an intelligence element, EO 12333 §2.13</w:t>
      </w:r>
      <w:r>
        <w:t xml:space="preserve"> </w:t>
      </w:r>
      <w:r>
        <w:t xml:space="preserve">and intelligence oversight rules also apply. Refer that aspect to the intelligence committees and the</w:t>
      </w:r>
      <w:r>
        <w:t xml:space="preserve"> </w:t>
      </w:r>
      <w:r>
        <w:t xml:space="preserve">relevant inspector general, since GAO’s access to intelligence activities is limited.</w:t>
      </w:r>
    </w:p>
    <w:p>
      <w:pPr>
        <w:pStyle w:val="Compact"/>
        <w:numPr>
          <w:ilvl w:val="0"/>
          <w:numId w:val="1001"/>
        </w:numPr>
      </w:pPr>
      <w:r>
        <w:rPr>
          <w:bCs/>
          <w:b/>
        </w:rPr>
        <w:t xml:space="preserve">Fiscal year.</w:t>
      </w:r>
      <w:r>
        <w:t xml:space="preserve"> </w:t>
      </w:r>
      <w:r>
        <w:t xml:space="preserve">The rider appears in each year’s appropriations act. Cite the act covering the</w:t>
      </w:r>
      <w:r>
        <w:t xml:space="preserve"> </w:t>
      </w:r>
      <w:r>
        <w:t xml:space="preserve">period when the funds were obligated.</w:t>
      </w:r>
    </w:p>
    <w:p>
      <w:pPr>
        <w:pStyle w:val="Compact"/>
        <w:numPr>
          <w:ilvl w:val="0"/>
          <w:numId w:val="1001"/>
        </w:numPr>
      </w:pPr>
      <w:r>
        <w:rPr>
          <w:bCs/>
          <w:b/>
        </w:rPr>
        <w:t xml:space="preserve">Antideficiency Act.</w:t>
      </w:r>
      <w:r>
        <w:t xml:space="preserve"> </w:t>
      </w:r>
      <w:r>
        <w:t xml:space="preserve">31 U.S.C. §1341(a)(1)(A) bars obligations or expenditures exceeding an</w:t>
      </w:r>
      <w:r>
        <w:t xml:space="preserve"> </w:t>
      </w:r>
      <w:r>
        <w:t xml:space="preserve">amount available in an appropriation, and GAO treats a purpose violation that cannot be corrected by</w:t>
      </w:r>
      <w:r>
        <w:t xml:space="preserve"> </w:t>
      </w:r>
      <w:r>
        <w:t xml:space="preserve">adjustment as an Antideficiency Act violation; 31 U.S.C. §1351 requires the agency head to report</w:t>
      </w:r>
      <w:r>
        <w:t xml:space="preserve"> </w:t>
      </w:r>
      <w:r>
        <w:t xml:space="preserve">violations to the President and Congress.</w:t>
      </w:r>
    </w:p>
    <w:p>
      <w:pPr>
        <w:pStyle w:val="Compact"/>
        <w:numPr>
          <w:ilvl w:val="0"/>
          <w:numId w:val="1001"/>
        </w:numPr>
      </w:pPr>
      <w:r>
        <w:t xml:space="preserve">Related:</w:t>
      </w:r>
      <w:r>
        <w:t xml:space="preserve"> </w:t>
      </w:r>
      <w:hyperlink r:id="rId20">
        <w:r>
          <w:rPr>
            <w:rStyle w:val="Hyperlink"/>
          </w:rPr>
          <w:t xml:space="preserve">Issue F4</w:t>
        </w:r>
      </w:hyperlink>
      <w:r>
        <w:t xml:space="preserve">;</w:t>
      </w:r>
      <w:r>
        <w:t xml:space="preserve"> </w:t>
      </w:r>
      <w:hyperlink r:id="rId21">
        <w:r>
          <w:rPr>
            <w:rStyle w:val="Hyperlink"/>
          </w:rPr>
          <w:t xml:space="preserve">Form F4-1</w:t>
        </w:r>
      </w:hyperlink>
      <w:r>
        <w:t xml:space="preserve">.</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f4-1.html" TargetMode="External"/><Relationship Id="rId20" Type="http://schemas.openxmlformats.org/officeDocument/2006/relationships/hyperlink" Target="https://nhilaw.com/issues/f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f4-1.html" TargetMode="External"/><Relationship Id="rId20" Type="http://schemas.openxmlformats.org/officeDocument/2006/relationships/hyperlink" Target="https://nhilaw.com/issues/f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F4-2. Request to the Comptroller General for a Decision on Whether UAP-Related Public Communications Violated the Publicity or Propaganda Prohibition</dc:title>
  <dc:creator>nhilaw.com</dc:creator>
  <cp:keywords/>
  <dcterms:created xsi:type="dcterms:W3CDTF">2026-10-19T03:15:12Z</dcterms:created>
  <dcterms:modified xsi:type="dcterms:W3CDTF">2026-10-19T03:15:12Z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