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9676927574fc258ebf5db19c332907f4b65c15e"/>
    <w:p>
      <w:pPr>
        <w:pStyle w:val="Heading1"/>
      </w:pPr>
      <w:r>
        <w:t xml:space="preserve">Form F5-1. Committee Letter to the Secretary of State Under the Case-Zablocki Act Concerning Any Agreement or Arrangement with a Non-Human Intelligence Entity</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https://nhilaw.com/forms/f5-1.html</w:t>
      </w:r>
    </w:p>
    <w:p>
      <w:pPr>
        <w:pStyle w:val="BodyText"/>
        <w:spacing w:after="160" w:line="259" w:lineRule="auto"/>
      </w:pPr>
      <w:r>
        <w:rPr>
          <w:bCs/>
          <w:b/>
        </w:rPr>
        <w:t xml:space="preserve">Use.</w:t>
      </w:r>
      <w:r>
        <w:t xml:space="preserve"> </w:t>
      </w:r>
      <w:hyperlink r:id="rId20">
        <w:r>
          <w:rPr>
            <w:rStyle w:val="Hyperlink"/>
          </w:rPr>
          <w:t xml:space="preserve">Issue F5</w:t>
        </w:r>
      </w:hyperlink>
      <w:r>
        <w:t xml:space="preserve"> </w:t>
      </w:r>
      <w:r>
        <w:t xml:space="preserve">asks how Congress would learn of any agreement, understanding, or cooperation</w:t>
      </w:r>
      <w:r>
        <w:t xml:space="preserve"> </w:t>
      </w:r>
      <w:r>
        <w:t xml:space="preserve">arrangement between the United States and an NHI group. The Case-Zablocki Act, as rewritten by the</w:t>
      </w:r>
      <w:r>
        <w:t xml:space="preserve"> </w:t>
      </w:r>
      <w:r>
        <w:t xml:space="preserve">FY2023 NDAA (Pub. L. No. 117-263, §5947), requires the Secretary of State to report to congressional</w:t>
      </w:r>
      <w:r>
        <w:t xml:space="preserve"> </w:t>
      </w:r>
      <w:r>
        <w:t xml:space="preserve">leadership and the appropriate committees, every month, the text of every</w:t>
      </w:r>
      <w:r>
        <w:t xml:space="preserve"> </w:t>
      </w:r>
      <w:r>
        <w:t xml:space="preserve">“</w:t>
      </w:r>
      <w:r>
        <w:t xml:space="preserve">international agreement</w:t>
      </w:r>
      <w:r>
        <w:t xml:space="preserve">”</w:t>
      </w:r>
      <w:r>
        <w:t xml:space="preserve"> </w:t>
      </w:r>
      <w:r>
        <w:t xml:space="preserve">and every</w:t>
      </w:r>
      <w:r>
        <w:t xml:space="preserve"> </w:t>
      </w:r>
      <w:r>
        <w:t xml:space="preserve">“</w:t>
      </w:r>
      <w:r>
        <w:t xml:space="preserve">qualifying non-binding instrument</w:t>
      </w:r>
      <w:r>
        <w:t xml:space="preserve">”</w:t>
      </w:r>
      <w:r>
        <w:t xml:space="preserve"> </w:t>
      </w:r>
      <w:r>
        <w:t xml:space="preserve">concluded in the prior month, with</w:t>
      </w:r>
      <w:r>
        <w:t xml:space="preserve"> </w:t>
      </w:r>
      <w:r>
        <w:t xml:space="preserve">“</w:t>
      </w:r>
      <w:r>
        <w:t xml:space="preserve">a detailed</w:t>
      </w:r>
      <w:r>
        <w:t xml:space="preserve"> </w:t>
      </w:r>
      <w:r>
        <w:t xml:space="preserve">description of the legal authority</w:t>
      </w:r>
      <w:r>
        <w:t xml:space="preserve">”</w:t>
      </w:r>
      <w:r>
        <w:t xml:space="preserve"> </w:t>
      </w:r>
      <w:r>
        <w:t xml:space="preserve">for each, in unclassified form with a classified annex if needed.</w:t>
      </w:r>
      <w:r>
        <w:t xml:space="preserve"> </w:t>
      </w:r>
      <w:r>
        <w:t xml:space="preserve">1 U.S.C. §112b(a)(1)-(2). A non-binding instrument becomes</w:t>
      </w:r>
      <w:r>
        <w:t xml:space="preserve"> </w:t>
      </w:r>
      <w:r>
        <w:t xml:space="preserve">“</w:t>
      </w:r>
      <w:r>
        <w:t xml:space="preserve">qualifying</w:t>
      </w:r>
      <w:r>
        <w:t xml:space="preserve">”</w:t>
      </w:r>
      <w:r>
        <w:t xml:space="preserve"> </w:t>
      </w:r>
      <w:r>
        <w:t xml:space="preserve">if it is made with</w:t>
      </w:r>
      <w:r>
        <w:t xml:space="preserve"> </w:t>
      </w:r>
      <w:r>
        <w:t xml:space="preserve">“</w:t>
      </w:r>
      <w:r>
        <w:t xml:space="preserve">foreign</w:t>
      </w:r>
      <w:r>
        <w:t xml:space="preserve"> </w:t>
      </w:r>
      <w:r>
        <w:t xml:space="preserve">governments, international organizations, or foreign entities, including non-state actors,</w:t>
      </w:r>
      <w:r>
        <w:t xml:space="preserve">”</w:t>
      </w:r>
      <w:r>
        <w:t xml:space="preserve"> </w:t>
      </w:r>
      <w:r>
        <w:t xml:space="preserve">and either</w:t>
      </w:r>
      <w:r>
        <w:t xml:space="preserve"> </w:t>
      </w:r>
      <w:r>
        <w:t xml:space="preserve">could reasonably be expected to have a significant impact on U.S. foreign policy or</w:t>
      </w:r>
      <w:r>
        <w:t xml:space="preserve"> </w:t>
      </w:r>
      <w:r>
        <w:t xml:space="preserve">“</w:t>
      </w:r>
      <w:r>
        <w:t xml:space="preserve">is the subject of</w:t>
      </w:r>
      <w:r>
        <w:t xml:space="preserve"> </w:t>
      </w:r>
      <w:r>
        <w:t xml:space="preserve">a written communication from the Chair or Ranking Member of either of the appropriate congressional</w:t>
      </w:r>
      <w:r>
        <w:t xml:space="preserve"> </w:t>
      </w:r>
      <w:r>
        <w:t xml:space="preserve">committees to the Secretary.</w:t>
      </w:r>
      <w:r>
        <w:t xml:space="preserve">”</w:t>
      </w:r>
      <w:r>
        <w:t xml:space="preserve"> </w:t>
      </w:r>
      <w:r>
        <w:t xml:space="preserve">§112b(k)(5)(A). This letter is that written communication. It also asks</w:t>
      </w:r>
      <w:r>
        <w:t xml:space="preserve"> </w:t>
      </w:r>
      <w:r>
        <w:t xml:space="preserve">the Secretary to state the executive branch’s position on whether an NHI group can be a party to an</w:t>
      </w:r>
      <w:r>
        <w:t xml:space="preserve"> </w:t>
      </w:r>
      <w:r>
        <w:t xml:space="preserve">“</w:t>
      </w:r>
      <w:r>
        <w:t xml:space="preserve">international agreement.</w:t>
      </w:r>
      <w:r>
        <w:t xml:space="preserve">”</w:t>
      </w:r>
    </w:p>
    <w:p>
      <w:pPr>
        <w:pStyle w:val="BodyText"/>
        <w:spacing w:after="160" w:line="259" w:lineRule="auto"/>
      </w:pPr>
      <w:r>
        <w:rPr>
          <w:bCs/>
          <w:b/>
        </w:rPr>
        <w:t xml:space="preserve">When to use.</w:t>
      </w:r>
      <w:r>
        <w:t xml:space="preserve"> </w:t>
      </w:r>
      <w:r>
        <w:t xml:space="preserve">Committee leaders asking the State Department to report NHI arrangements under the Case-Zablocki Act.</w:t>
      </w:r>
      <w:r>
        <w:t xml:space="preserve"> </w:t>
      </w:r>
      <w:r>
        <w:rPr>
          <w:bCs/>
          <w:b/>
        </w:rPr>
        <w:t xml:space="preserve">Not for:</w:t>
      </w:r>
      <w:r>
        <w:t xml:space="preserve"> </w:t>
      </w:r>
      <w:r>
        <w:t xml:space="preserve">Treaties submitted for advice and consent.</w:t>
      </w:r>
    </w:p>
    <w:p>
      <w:pPr>
        <w:pStyle w:val="BodyText"/>
        <w:spacing w:after="160" w:line="259" w:lineRule="auto"/>
      </w:pPr>
      <w:r>
        <w:rPr>
          <w:bCs/>
          <w:b/>
        </w:rPr>
        <w:t xml:space="preserve">Deadlines.</w:t>
      </w:r>
      <w:r>
        <w:t xml:space="preserve"> </w:t>
      </w:r>
      <w:r>
        <w:t xml:space="preserve">None in the letter; the Act requires transmission of qualifying arrangements within 30 days after signature (1 U.S.C. §112b(a)).</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[Committee letterhead]</w:t>
      </w:r>
    </w:p>
    <w:p>
      <w:pPr>
        <w:pStyle w:val="BodyText"/>
      </w:pPr>
      <w:r>
        <w:t xml:space="preserve">[Date]</w:t>
      </w:r>
    </w:p>
    <w:p>
      <w:pPr>
        <w:pStyle w:val="BodyText"/>
      </w:pPr>
      <w:r>
        <w:t xml:space="preserve">The Honorable [Name]</w:t>
      </w:r>
      <w:r>
        <w:br/>
      </w:r>
      <w:r>
        <w:t xml:space="preserve">Secretary of State</w:t>
      </w:r>
      <w:r>
        <w:br/>
      </w:r>
      <w:r>
        <w:t xml:space="preserve">U.S. Department of State</w:t>
      </w:r>
      <w:r>
        <w:br/>
      </w:r>
      <w:r>
        <w:t xml:space="preserve">2201 C Street NW</w:t>
      </w:r>
      <w:r>
        <w:br/>
      </w:r>
      <w:r>
        <w:t xml:space="preserve">Washington, DC 20520</w:t>
      </w:r>
    </w:p>
    <w:p>
      <w:pPr>
        <w:pStyle w:val="BodyText"/>
      </w:pPr>
      <w:r>
        <w:t xml:space="preserve">Dear Secretary [Name]:</w:t>
      </w:r>
    </w:p>
    <w:p>
      <w:pPr>
        <w:pStyle w:val="BodyText"/>
      </w:pPr>
      <w:r>
        <w:t xml:space="preserve">I write under the Case-Zablocki Act, 1 U.S.C. §112b, concerning any agreement, understanding,</w:t>
      </w:r>
      <w:r>
        <w:t xml:space="preserve"> </w:t>
      </w:r>
      <w:r>
        <w:t xml:space="preserve">arrangement, or instrument, whether binding or non-binding, written or oral, between the United States</w:t>
      </w:r>
      <w:r>
        <w:t xml:space="preserve"> </w:t>
      </w:r>
      <w:r>
        <w:t xml:space="preserve">or any agency of the United States and any non-human intelligence entity. For purposes of this letter,</w:t>
      </w:r>
      <w:r>
        <w:t xml:space="preserve"> </w:t>
      </w:r>
      <w:r>
        <w:t xml:space="preserve">“</w:t>
      </w:r>
      <w:r>
        <w:t xml:space="preserve">non-human intelligence entity</w:t>
      </w:r>
      <w:r>
        <w:t xml:space="preserve">”</w:t>
      </w:r>
      <w:r>
        <w:t xml:space="preserve"> </w:t>
      </w:r>
      <w:r>
        <w:t xml:space="preserve">means any sentient, intelligent, non-human being, or any group or</w:t>
      </w:r>
      <w:r>
        <w:t xml:space="preserve"> </w:t>
      </w:r>
      <w:r>
        <w:t xml:space="preserve">organization of such beings, regardless of nature or origin, and any person or organization acting on</w:t>
      </w:r>
      <w:r>
        <w:t xml:space="preserve"> </w:t>
      </w:r>
      <w:r>
        <w:t xml:space="preserve">its behalf.</w:t>
      </w:r>
      <w:r>
        <w:t xml:space="preserve"> </w:t>
      </w:r>
      <w:r>
        <w:rPr>
          <w:iCs/>
          <w:i/>
        </w:rPr>
        <w:t xml:space="preserve">Cf.</w:t>
      </w:r>
      <w:r>
        <w:t xml:space="preserve"> </w:t>
      </w:r>
      <w:r>
        <w:t xml:space="preserve">H.R. 8800 (118th Cong.), §1773(13) (as passed by the House).</w:t>
      </w:r>
    </w:p>
    <w:p>
      <w:pPr>
        <w:numPr>
          <w:ilvl w:val="0"/>
          <w:numId w:val="1001"/>
        </w:numPr>
      </w:pPr>
      <w:r>
        <w:rPr>
          <w:bCs/>
          <w:b/>
        </w:rPr>
        <w:t xml:space="preserve">Designation.</w:t>
      </w:r>
      <w:r>
        <w:t xml:space="preserve"> </w:t>
      </w:r>
      <w:r>
        <w:t xml:space="preserve">Pursuant to 1 U.S.C. §112b(k)(5)(A)(ii)(II), this letter constitutes a written</w:t>
      </w:r>
      <w:r>
        <w:t xml:space="preserve"> </w:t>
      </w:r>
      <w:r>
        <w:t xml:space="preserve">communication identifying as a qualifying non-binding instrument every non-binding instrument that is</w:t>
      </w:r>
      <w:r>
        <w:t xml:space="preserve"> </w:t>
      </w:r>
      <w:r>
        <w:t xml:space="preserve">or will be under negotiation, is signed or otherwise becomes operative, or is implemented with any</w:t>
      </w:r>
      <w:r>
        <w:t xml:space="preserve"> </w:t>
      </w:r>
      <w:r>
        <w:t xml:space="preserve">non-human intelligence entity. Please include every such instrument in the monthly reports required by</w:t>
      </w:r>
      <w:r>
        <w:t xml:space="preserve"> </w:t>
      </w:r>
      <w:r>
        <w:t xml:space="preserve">§112b(a)(1), beginning with the next report, together with its text and the legal authority relied</w:t>
      </w:r>
      <w:r>
        <w:t xml:space="preserve"> </w:t>
      </w:r>
      <w:r>
        <w:t xml:space="preserve">upon.</w:t>
      </w:r>
    </w:p>
    <w:p>
      <w:pPr>
        <w:numPr>
          <w:ilvl w:val="0"/>
          <w:numId w:val="1001"/>
        </w:numPr>
      </w:pPr>
      <w:r>
        <w:rPr>
          <w:bCs/>
          <w:b/>
        </w:rPr>
        <w:t xml:space="preserve">Existing agreements and instruments.</w:t>
      </w:r>
      <w:r>
        <w:t xml:space="preserve"> </w:t>
      </w:r>
      <w:r>
        <w:t xml:space="preserve">Please state whether any international agreement or</w:t>
      </w:r>
      <w:r>
        <w:t xml:space="preserve"> </w:t>
      </w:r>
      <w:r>
        <w:t xml:space="preserve">non-binding instrument with a non-human intelligence entity has been signed, concluded, or</w:t>
      </w:r>
      <w:r>
        <w:t xml:space="preserve"> </w:t>
      </w:r>
      <w:r>
        <w:t xml:space="preserve">implemented by any department or agency at any time, and, if so, provide its text and legal authority.</w:t>
      </w:r>
      <w:r>
        <w:t xml:space="preserve"> </w:t>
      </w:r>
      <w:r>
        <w:t xml:space="preserve">Oral agreements must be reduced to writing for this purpose. §112b(f). Information may be provided in a</w:t>
      </w:r>
      <w:r>
        <w:t xml:space="preserve"> </w:t>
      </w:r>
      <w:r>
        <w:t xml:space="preserve">classified annex. §112b(a)(2).</w:t>
      </w:r>
    </w:p>
    <w:p>
      <w:pPr>
        <w:numPr>
          <w:ilvl w:val="0"/>
          <w:numId w:val="1001"/>
        </w:numPr>
      </w:pPr>
      <w:r>
        <w:rPr>
          <w:bCs/>
          <w:b/>
        </w:rPr>
        <w:t xml:space="preserve">Legal position.</w:t>
      </w:r>
      <w:r>
        <w:t xml:space="preserve"> </w:t>
      </w:r>
      <w:r>
        <w:t xml:space="preserve">Please state the Department’s position on:</w:t>
      </w:r>
      <w:r>
        <w:br/>
      </w:r>
    </w:p>
    <w:p>
      <w:pPr>
        <w:pStyle w:val="FirstParagraph"/>
      </w:pPr>
      <w:r>
        <w:t xml:space="preserve">(a) whether a non-human intelligence entity may be a</w:t>
      </w:r>
      <w:r>
        <w:t xml:space="preserve"> </w:t>
      </w:r>
      <w:r>
        <w:t xml:space="preserve">“</w:t>
      </w:r>
      <w:r>
        <w:t xml:space="preserve">foreign entit[y], including [a] non-state</w:t>
      </w:r>
      <w:r>
        <w:t xml:space="preserve"> </w:t>
      </w:r>
      <w:r>
        <w:t xml:space="preserve">actor[],</w:t>
      </w:r>
      <w:r>
        <w:t xml:space="preserve">”</w:t>
      </w:r>
      <w:r>
        <w:t xml:space="preserve"> </w:t>
      </w:r>
      <w:r>
        <w:t xml:space="preserve">within §112b(k)(5)(A)(i);</w:t>
      </w:r>
      <w:r>
        <w:br/>
      </w:r>
      <w:r>
        <w:t xml:space="preserve">(b) whether an agreement with such an entity can be an</w:t>
      </w:r>
      <w:r>
        <w:t xml:space="preserve"> </w:t>
      </w:r>
      <w:r>
        <w:t xml:space="preserve">“</w:t>
      </w:r>
      <w:r>
        <w:t xml:space="preserve">international agreement</w:t>
      </w:r>
      <w:r>
        <w:t xml:space="preserve">”</w:t>
      </w:r>
      <w:r>
        <w:t xml:space="preserve"> </w:t>
      </w:r>
      <w:r>
        <w:t xml:space="preserve">within</w:t>
      </w:r>
      <w:r>
        <w:t xml:space="preserve"> </w:t>
      </w:r>
      <w:r>
        <w:t xml:space="preserve">§112b(k)(4), and under what constitutional or statutory authority the executive branch would conclude</w:t>
      </w:r>
      <w:r>
        <w:t xml:space="preserve"> </w:t>
      </w:r>
      <w:r>
        <w:t xml:space="preserve">one; and</w:t>
      </w:r>
      <w:r>
        <w:br/>
      </w:r>
      <w:r>
        <w:t xml:space="preserve">(c) whether the exclusion in §112b(k)(5)(B) for non-binding instruments made under the authorities of</w:t>
      </w:r>
      <w:r>
        <w:t xml:space="preserve"> </w:t>
      </w:r>
      <w:r>
        <w:t xml:space="preserve">the Department of Defense, the Armed Forces, or the intelligence community has been relied upon to</w:t>
      </w:r>
      <w:r>
        <w:t xml:space="preserve"> </w:t>
      </w:r>
      <w:r>
        <w:t xml:space="preserve">omit from reporting any instrument with such an entity, and, if so, which department or element relied</w:t>
      </w:r>
      <w:r>
        <w:t xml:space="preserve"> </w:t>
      </w:r>
      <w:r>
        <w:t xml:space="preserve">on it.</w:t>
      </w:r>
    </w:p>
    <w:p>
      <w:pPr>
        <w:pStyle w:val="Compact"/>
        <w:numPr>
          <w:ilvl w:val="0"/>
          <w:numId w:val="1002"/>
        </w:numPr>
      </w:pPr>
      <w:r>
        <w:rPr>
          <w:bCs/>
          <w:b/>
        </w:rPr>
        <w:t xml:space="preserve">Consultation.</w:t>
      </w:r>
      <w:r>
        <w:t xml:space="preserve"> </w:t>
      </w:r>
      <w:r>
        <w:t xml:space="preserve">Please confirm that no agreement with a non-human intelligence entity has been</w:t>
      </w:r>
      <w:r>
        <w:t xml:space="preserve"> </w:t>
      </w:r>
      <w:r>
        <w:t xml:space="preserve">signed or concluded without the prior consultation with the Secretary that §112b(g) requires.</w:t>
      </w:r>
    </w:p>
    <w:p>
      <w:pPr>
        <w:pStyle w:val="FirstParagraph"/>
      </w:pPr>
      <w:r>
        <w:t xml:space="preserve">Please respond by [date, e.g., 30 days]. My staff contact is [name, phone, email].</w:t>
      </w:r>
    </w:p>
    <w:p>
      <w:pPr>
        <w:pStyle w:val="BodyText"/>
      </w:pPr>
      <w:r>
        <w:t xml:space="preserve">Sincerely,</w:t>
      </w:r>
    </w:p>
    <w:p>
      <w:pPr>
        <w:pStyle w:val="BodyText"/>
      </w:pPr>
      <w:r>
        <w:t xml:space="preserve">[Chair / Ranking Member]</w:t>
      </w:r>
      <w:r>
        <w:br/>
      </w:r>
      <w:r>
        <w:t xml:space="preserve">Committee on [Foreign Relations / Foreign Affairs]</w:t>
      </w:r>
    </w:p>
    <w:p>
      <w:pPr>
        <w:pStyle w:val="BodyText"/>
      </w:pPr>
      <w:r>
        <w:t xml:space="preserve">cc: [Chair and Ranking Member of the other appropriate committee]; [Senate Majority and Minority</w:t>
      </w:r>
      <w:r>
        <w:br/>
      </w:r>
      <w:r>
        <w:t xml:space="preserve">Leaders; Speaker and House Minority Leader]; [Chairs and Ranking Members of the intelligence and armed</w:t>
      </w:r>
      <w:r>
        <w:br/>
      </w:r>
      <w:r>
        <w:t xml:space="preserve">services committees]</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3"/>
        </w:numPr>
      </w:pPr>
      <w:r>
        <w:rPr>
          <w:bCs/>
          <w:b/>
        </w:rPr>
        <w:t xml:space="preserve">State Department criteria.</w:t>
      </w:r>
      <w:r>
        <w:t xml:space="preserve"> </w:t>
      </w:r>
      <w:r>
        <w:t xml:space="preserve">The letter targets non-binding instruments because the State Department’s rule</w:t>
      </w:r>
      <w:r>
        <w:t xml:space="preserve"> </w:t>
      </w:r>
      <w:r>
        <w:t xml:space="preserve">limits binding</w:t>
      </w:r>
      <w:r>
        <w:t xml:space="preserve"> </w:t>
      </w:r>
      <w:r>
        <w:t xml:space="preserve">“</w:t>
      </w:r>
      <w:r>
        <w:t xml:space="preserve">international agreements</w:t>
      </w:r>
      <w:r>
        <w:t xml:space="preserve">”</w:t>
      </w:r>
      <w:r>
        <w:t xml:space="preserve"> </w:t>
      </w:r>
      <w:r>
        <w:t xml:space="preserve">to those whose parties are</w:t>
      </w:r>
      <w:r>
        <w:t xml:space="preserve"> </w:t>
      </w:r>
      <w:r>
        <w:t xml:space="preserve">“</w:t>
      </w:r>
      <w:r>
        <w:t xml:space="preserve">a state, a state agency, or an</w:t>
      </w:r>
      <w:r>
        <w:t xml:space="preserve"> </w:t>
      </w:r>
      <w:r>
        <w:t xml:space="preserve">intergovernmental organization</w:t>
      </w:r>
      <w:r>
        <w:t xml:space="preserve">”</w:t>
      </w:r>
      <w:r>
        <w:t xml:space="preserve"> </w:t>
      </w:r>
      <w:r>
        <w:t xml:space="preserve">(22 C.F.R. §181.2(a)(1)), while qualifying non-binding instruments may involve</w:t>
      </w:r>
      <w:r>
        <w:t xml:space="preserve"> </w:t>
      </w:r>
      <w:r>
        <w:t xml:space="preserve">“</w:t>
      </w:r>
      <w:r>
        <w:t xml:space="preserve">foreign entities, including non-state actors</w:t>
      </w:r>
      <w:r>
        <w:t xml:space="preserve">”</w:t>
      </w:r>
      <w:r>
        <w:t xml:space="preserve"> </w:t>
      </w:r>
      <w:r>
        <w:t xml:space="preserve">(§181.4(a)(1), (b)(2)). Ask the Secretary to say whether the</w:t>
      </w:r>
      <w:r>
        <w:t xml:space="preserve"> </w:t>
      </w:r>
      <w:r>
        <w:t xml:space="preserve">Department would treat any NHI group as a state for §181.2 purposes.</w:t>
      </w:r>
    </w:p>
    <w:p>
      <w:pPr>
        <w:pStyle w:val="Compact"/>
        <w:numPr>
          <w:ilvl w:val="0"/>
          <w:numId w:val="1003"/>
        </w:numPr>
      </w:pPr>
      <w:r>
        <w:rPr>
          <w:bCs/>
          <w:b/>
        </w:rPr>
        <w:t xml:space="preserve">Who may send it.</w:t>
      </w:r>
      <w:r>
        <w:t xml:space="preserve"> </w:t>
      </w:r>
      <w:r>
        <w:t xml:space="preserve">The designation in paragraph 1 works only if the letter comes from the Chair or</w:t>
      </w:r>
      <w:r>
        <w:t xml:space="preserve"> </w:t>
      </w:r>
      <w:r>
        <w:t xml:space="preserve">Ranking Member of the Senate Foreign Relations or House Foreign Affairs Committee. A letter from</w:t>
      </w:r>
      <w:r>
        <w:t xml:space="preserve"> </w:t>
      </w:r>
      <w:r>
        <w:t xml:space="preserve">another Member can still ask the questions in paragraphs 2-4.</w:t>
      </w:r>
    </w:p>
    <w:p>
      <w:pPr>
        <w:pStyle w:val="Compact"/>
        <w:numPr>
          <w:ilvl w:val="0"/>
          <w:numId w:val="1003"/>
        </w:numPr>
      </w:pPr>
      <w:r>
        <w:rPr>
          <w:bCs/>
          <w:b/>
        </w:rPr>
        <w:t xml:space="preserve">DoD and IC carve-out.</w:t>
      </w:r>
      <w:r>
        <w:t xml:space="preserve"> </w:t>
      </w:r>
      <w:r>
        <w:t xml:space="preserve">Section 112b(k)(5)(B) removes from the</w:t>
      </w:r>
      <w:r>
        <w:t xml:space="preserve"> </w:t>
      </w:r>
      <w:r>
        <w:t xml:space="preserve">“</w:t>
      </w:r>
      <w:r>
        <w:t xml:space="preserve">qualifying non-binding instrument</w:t>
      </w:r>
      <w:r>
        <w:t xml:space="preserve">”</w:t>
      </w:r>
      <w:r>
        <w:t xml:space="preserve"> </w:t>
      </w:r>
      <w:r>
        <w:t xml:space="preserve">category any instrument made under DoD, Armed Forces, or intelligence community authorities. Binding</w:t>
      </w:r>
      <w:r>
        <w:t xml:space="preserve"> </w:t>
      </w:r>
      <w:r>
        <w:t xml:space="preserve">international agreements made by those entities remain reportable. If an arrangement with an NHI</w:t>
      </w:r>
      <w:r>
        <w:t xml:space="preserve"> </w:t>
      </w:r>
      <w:r>
        <w:t xml:space="preserve">group exists, it is most likely to sit within that carve-out, which is why paragraph 3(c) asks about</w:t>
      </w:r>
      <w:r>
        <w:t xml:space="preserve"> </w:t>
      </w:r>
      <w:r>
        <w:t xml:space="preserve">it directly. Consider a parallel letter from the intelligence committees under 50 U.S.C. §3091</w:t>
      </w:r>
      <w:r>
        <w:t xml:space="preserve"> </w:t>
      </w:r>
      <w:r>
        <w:t xml:space="preserve">(general duty to keep the committees</w:t>
      </w:r>
      <w:r>
        <w:t xml:space="preserve"> </w:t>
      </w:r>
      <w:r>
        <w:t xml:space="preserve">“</w:t>
      </w:r>
      <w:r>
        <w:t xml:space="preserve">fully and currently informed</w:t>
      </w:r>
      <w:r>
        <w:t xml:space="preserve">”</w:t>
      </w:r>
      <w:r>
        <w:t xml:space="preserve">).</w:t>
      </w:r>
    </w:p>
    <w:p>
      <w:pPr>
        <w:pStyle w:val="Compact"/>
        <w:numPr>
          <w:ilvl w:val="0"/>
          <w:numId w:val="1003"/>
        </w:numPr>
      </w:pPr>
      <w:r>
        <w:rPr>
          <w:bCs/>
          <w:b/>
        </w:rPr>
        <w:t xml:space="preserve">Definition.</w:t>
      </w:r>
      <w:r>
        <w:t xml:space="preserve"> </w:t>
      </w:r>
      <w:r>
        <w:t xml:space="preserve">The letter borrows the House-passed UAPDA definition of NHI to avoid inventing a new</w:t>
      </w:r>
      <w:r>
        <w:t xml:space="preserve"> </w:t>
      </w:r>
      <w:r>
        <w:t xml:space="preserve">one (</w:t>
      </w:r>
      <w:hyperlink r:id="rId21">
        <w:r>
          <w:rPr>
            <w:rStyle w:val="Hyperlink"/>
          </w:rPr>
          <w:t xml:space="preserve">Issue A3</w:t>
        </w:r>
      </w:hyperlink>
      <w:r>
        <w:t xml:space="preserve">). Adjust if a later enacted statute defines the term.</w:t>
      </w:r>
    </w:p>
    <w:p>
      <w:pPr>
        <w:pStyle w:val="Compact"/>
        <w:numPr>
          <w:ilvl w:val="0"/>
          <w:numId w:val="1003"/>
        </w:numPr>
      </w:pPr>
      <w:r>
        <w:rPr>
          <w:bCs/>
          <w:b/>
        </w:rPr>
        <w:t xml:space="preserve">War powers.</w:t>
      </w:r>
      <w:r>
        <w:t xml:space="preserve"> </w:t>
      </w:r>
      <w:r>
        <w:t xml:space="preserve">If the concern is participation in hostilities between NHI groups, add a request for</w:t>
      </w:r>
      <w:r>
        <w:t xml:space="preserve"> </w:t>
      </w:r>
      <w:r>
        <w:t xml:space="preserve">any report submitted under the War Powers Resolution, 50 U.S.C. §1543, and for the legal authority</w:t>
      </w:r>
      <w:r>
        <w:t xml:space="preserve"> </w:t>
      </w:r>
      <w:r>
        <w:t xml:space="preserve">relied on (</w:t>
      </w:r>
      <w:hyperlink r:id="rId20">
        <w:r>
          <w:rPr>
            <w:rStyle w:val="Hyperlink"/>
          </w:rPr>
          <w:t xml:space="preserve">Issue F5</w:t>
        </w:r>
      </w:hyperlink>
      <w:r>
        <w:t xml:space="preserve">).</w:t>
      </w:r>
    </w:p>
    <w:p>
      <w:pPr>
        <w:pStyle w:val="Compact"/>
        <w:numPr>
          <w:ilvl w:val="0"/>
          <w:numId w:val="1003"/>
        </w:numPr>
      </w:pPr>
      <w:r>
        <w:t xml:space="preserve">Verified against the current text of 1 U.S.C. §112b (govinfo, October 14, 2026).</w:t>
      </w:r>
    </w:p>
    <w:p>
      <w:pPr>
        <w:pStyle w:val="Compact"/>
        <w:numPr>
          <w:ilvl w:val="0"/>
          <w:numId w:val="1003"/>
        </w:numPr>
      </w:pPr>
      <w:r>
        <w:t xml:space="preserve">Related:</w:t>
      </w:r>
      <w:r>
        <w:t xml:space="preserve"> </w:t>
      </w:r>
      <w:hyperlink r:id="rId20">
        <w:r>
          <w:rPr>
            <w:rStyle w:val="Hyperlink"/>
          </w:rPr>
          <w:t xml:space="preserve">Issue F5</w:t>
        </w:r>
      </w:hyperlink>
      <w:r>
        <w:t xml:space="preserve">, F6, D1.</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issues/a3.html" TargetMode="External"/><Relationship Id="rId20" Type="http://schemas.openxmlformats.org/officeDocument/2006/relationships/hyperlink" Target="https://nhilaw.com/issues/f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issues/a3.html" TargetMode="External"/><Relationship Id="rId20" Type="http://schemas.openxmlformats.org/officeDocument/2006/relationships/hyperlink" Target="https://nhilaw.com/issues/f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F5-1. Committee Letter to the Secretary of State Under the Case-Zablocki Act Concerning Any Agreement or Arrangement with a Non-Human Intelligence Entity</dc:title>
  <dc:creator>nhilaw.com</dc:creator>
  <cp:keywords/>
  <dcterms:created xsi:type="dcterms:W3CDTF">2026-10-19T03:15:18Z</dcterms:created>
  <dcterms:modified xsi:type="dcterms:W3CDTF">2026-10-19T03:15:18Z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