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Conflicts Among NHI Groups and U.S. Involvement: Recognition, War Powers, Neutrality, and Technology Transfer</w:t>
      </w:r>
    </w:p>
    <w:p>
      <w:pPr>
        <w:pStyle w:val="Subtitle"/>
      </w:pPr>
      <w:r>
        <w:t xml:space="preserve">Version 1.10 · October 2026 · nhilaw.com/issues/f5.html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pPr>
        <w:pStyle w:val="BodyText"/>
      </w:pPr>
      <w:r>
        <w:rPr>
          <w:bCs/>
          <w:b/>
        </w:rPr>
        <w:t xml:space="preserve">Premise.</w:t>
      </w:r>
      <w:r>
        <w:t xml:space="preserve"> </w:t>
      </w:r>
      <w:r>
        <w:t xml:space="preserve">Some insider accounts describe multiple NHI groups with differing intentions, and conflicts among</w:t>
      </w:r>
      <w:r>
        <w:t xml:space="preserve"> </w:t>
      </w:r>
      <w:r>
        <w:t xml:space="preserve">them, with the United States or other governments aligned with or opposed to particular groups. This analysis</w:t>
      </w:r>
      <w:r>
        <w:t xml:space="preserve"> </w:t>
      </w:r>
      <w:r>
        <w:t xml:space="preserve">asks what U.S. and international law would govern such involvement.</w:t>
      </w:r>
    </w:p>
    <w:p>
      <w:r>
        <w:pict>
          <v:rect style="width:0;height:1.5pt" o:hralign="center" o:hrstd="t" o:hr="t"/>
        </w:pict>
      </w:r>
    </w:p>
    <w:bookmarkStart w:id="22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Recognition of an NHI group as a government, a belligerent, or neither is an executive decision that courts accept (</w:t>
      </w:r>
      <w:r>
        <w:rPr>
          <w:iCs/>
          <w:i/>
        </w:rPr>
        <w:t xml:space="preserve">Zivotofsky</w:t>
      </w:r>
      <w:r>
        <w:t xml:space="preserve">;</w:t>
      </w:r>
      <w:r>
        <w:t xml:space="preserve"> </w:t>
      </w:r>
      <w:r>
        <w:rPr>
          <w:iCs/>
          <w:i/>
        </w:rPr>
        <w:t xml:space="preserve">Guaranty Trust</w:t>
      </w:r>
      <w:r>
        <w:t xml:space="preserve">), and it decides how the Logan Act, sovereign immunity, and treaty law apply.</w:t>
      </w:r>
    </w:p>
    <w:p>
      <w:pPr>
        <w:pStyle w:val="Compact"/>
        <w:numPr>
          <w:ilvl w:val="0"/>
          <w:numId w:val="1001"/>
        </w:numPr>
      </w:pPr>
      <w:r>
        <w:t xml:space="preserve">Committing forces to hostilities triggers the War Powers Resolution; existing AUMFs do not cover NHI.</w:t>
      </w:r>
    </w:p>
    <w:p>
      <w:pPr>
        <w:pStyle w:val="Compact"/>
        <w:numPr>
          <w:ilvl w:val="0"/>
          <w:numId w:val="1001"/>
        </w:numPr>
      </w:pPr>
      <w:r>
        <w:t xml:space="preserve">Arrangements with an NHI group are most likely reportable to Congress as</w:t>
      </w:r>
      <w:r>
        <w:t xml:space="preserve"> </w:t>
      </w:r>
      <w:r>
        <w:t xml:space="preserve">“</w:t>
      </w:r>
      <w:r>
        <w:t xml:space="preserve">qualifying non-binding instruments</w:t>
      </w:r>
      <w:r>
        <w:t xml:space="preserve">”</w:t>
      </w:r>
      <w:r>
        <w:t xml:space="preserve"> </w:t>
      </w:r>
      <w:r>
        <w:t xml:space="preserve">under the Case-Zablocki Act, unless made under DoD or intelligence authorities (</w:t>
      </w:r>
      <w:hyperlink r:id="rId21">
        <w:r>
          <w:rPr>
            <w:rStyle w:val="Hyperlink"/>
          </w:rPr>
          <w:t xml:space="preserve">Form F5-1</w:t>
        </w:r>
      </w:hyperlink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The Neutrality Act’s</w:t>
      </w:r>
      <w:r>
        <w:t xml:space="preserve"> </w:t>
      </w:r>
      <w:r>
        <w:t xml:space="preserve">“</w:t>
      </w:r>
      <w:r>
        <w:t xml:space="preserve">people</w:t>
      </w:r>
      <w:r>
        <w:t xml:space="preserve">”</w:t>
      </w:r>
      <w:r>
        <w:t xml:space="preserve"> </w:t>
      </w:r>
      <w:r>
        <w:t xml:space="preserve">reaches organized groups conducting hostilities (</w:t>
      </w:r>
      <w:r>
        <w:rPr>
          <w:iCs/>
          <w:i/>
        </w:rPr>
        <w:t xml:space="preserve">The Three Friends</w:t>
      </w:r>
      <w:r>
        <w:t xml:space="preserve">);</w:t>
      </w:r>
      <w:r>
        <w:t xml:space="preserve"> </w:t>
      </w:r>
      <w:r>
        <w:t xml:space="preserve">“</w:t>
      </w:r>
      <w:r>
        <w:t xml:space="preserve">at peace</w:t>
      </w:r>
      <w:r>
        <w:t xml:space="preserve">”</w:t>
      </w:r>
      <w:r>
        <w:t xml:space="preserve"> </w:t>
      </w:r>
      <w:r>
        <w:t xml:space="preserve">is a jury question (</w:t>
      </w:r>
      <w:r>
        <w:rPr>
          <w:iCs/>
          <w:i/>
        </w:rPr>
        <w:t xml:space="preserve">Chhun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Neutrality proclamations and the Trading with the Enemy Act speak of foreign states and nations and would need amendment; IEEPA is more flexible.</w:t>
      </w:r>
    </w:p>
    <w:p>
      <w:r>
        <w:pict>
          <v:rect style="width:0;height:1.5pt" o:hralign="center" o:hrstd="t" o:hr="t"/>
        </w:pict>
      </w:r>
    </w:p>
    <w:bookmarkEnd w:id="22"/>
    <w:bookmarkStart w:id="24" w:name="summary"/>
    <w:p>
      <w:pPr>
        <w:pStyle w:val="Heading2"/>
      </w:pPr>
      <w:r>
        <w:t xml:space="preserve">1. Summary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Recognition.</w:t>
      </w:r>
      <w:r>
        <w:t xml:space="preserve"> </w:t>
      </w:r>
      <w:r>
        <w:t xml:space="preserve">Whether to treat an NHI group as a government, a belligerent, or neither is an executive</w:t>
      </w:r>
      <w:r>
        <w:t xml:space="preserve"> </w:t>
      </w:r>
      <w:r>
        <w:t xml:space="preserve">decision. The President has exclusive power to recognize foreign sovereigns (</w:t>
      </w:r>
      <w:r>
        <w:rPr>
          <w:iCs/>
          <w:i/>
        </w:rPr>
        <w:t xml:space="preserve">Zivotofsky v. Kerry</w:t>
      </w:r>
      <w:r>
        <w:t xml:space="preserve">, 576 U.S. 1</w:t>
      </w:r>
      <w:r>
        <w:t xml:space="preserve"> </w:t>
      </w:r>
      <w:r>
        <w:t xml:space="preserve">(2015)). Recognition would determine whether the Logan Act, sovereign immunity (FSIA), treaty powers, and the</w:t>
      </w:r>
      <w:r>
        <w:t xml:space="preserve"> </w:t>
      </w:r>
      <w:r>
        <w:t xml:space="preserve">international law of state relations apply.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War powers.</w:t>
      </w:r>
      <w:r>
        <w:t xml:space="preserve"> </w:t>
      </w:r>
      <w:r>
        <w:t xml:space="preserve">Committing U.S. forces to hostilities between NHI groups, or against one, triggers the War</w:t>
      </w:r>
      <w:r>
        <w:t xml:space="preserve"> </w:t>
      </w:r>
      <w:r>
        <w:t xml:space="preserve">Powers Resolution’s reporting and 60-day clock (50 U.S.C. §§1543-1544), and Congress’s power to declare war and</w:t>
      </w:r>
      <w:r>
        <w:t xml:space="preserve"> </w:t>
      </w:r>
      <w:r>
        <w:t xml:space="preserve">fund operations. Existing AUMFs (2001, 2002) do not cover NHI.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Agreements.</w:t>
      </w:r>
      <w:r>
        <w:t xml:space="preserve"> </w:t>
      </w:r>
      <w:r>
        <w:t xml:space="preserve">Alliances or cooperation agreements with an NHI group would be treaties (Senate consent) or</w:t>
      </w:r>
      <w:r>
        <w:t xml:space="preserve"> </w:t>
      </w:r>
      <w:r>
        <w:t xml:space="preserve">executive agreements. The Case-Zablocki Act, as rewritten in 2022, requires the Secretary of State to report</w:t>
      </w:r>
      <w:r>
        <w:t xml:space="preserve"> </w:t>
      </w:r>
      <w:r>
        <w:t xml:space="preserve">every</w:t>
      </w:r>
      <w:r>
        <w:t xml:space="preserve"> </w:t>
      </w:r>
      <w:r>
        <w:t xml:space="preserve">“</w:t>
      </w:r>
      <w:r>
        <w:t xml:space="preserve">international agreement</w:t>
      </w:r>
      <w:r>
        <w:t xml:space="preserve">”</w:t>
      </w:r>
      <w:r>
        <w:t xml:space="preserve"> </w:t>
      </w:r>
      <w:r>
        <w:t xml:space="preserve">and every</w:t>
      </w:r>
      <w:r>
        <w:t xml:space="preserve"> </w:t>
      </w:r>
      <w:r>
        <w:t xml:space="preserve">“</w:t>
      </w:r>
      <w:r>
        <w:t xml:space="preserve">qualifying non-binding instrument</w:t>
      </w:r>
      <w:r>
        <w:t xml:space="preserve">”</w:t>
      </w:r>
      <w:r>
        <w:t xml:space="preserve"> </w:t>
      </w:r>
      <w:r>
        <w:t xml:space="preserve">to congressional leadership and</w:t>
      </w:r>
      <w:r>
        <w:t xml:space="preserve"> </w:t>
      </w:r>
      <w:r>
        <w:t xml:space="preserve">the foreign affairs committees each month, with its text and</w:t>
      </w:r>
      <w:r>
        <w:t xml:space="preserve"> </w:t>
      </w:r>
      <w:r>
        <w:t xml:space="preserve">“</w:t>
      </w:r>
      <w:r>
        <w:t xml:space="preserve">a detailed description of the legal authority,</w:t>
      </w:r>
      <w:r>
        <w:t xml:space="preserve">”</w:t>
      </w:r>
      <w:r>
        <w:t xml:space="preserve"> </w:t>
      </w:r>
      <w:r>
        <w:t xml:space="preserve">in unclassified form with a classified annex if needed (1 U.S.C. §112b(a)(1)-(2)); oral agreements must be</w:t>
      </w:r>
      <w:r>
        <w:t xml:space="preserve"> </w:t>
      </w:r>
      <w:r>
        <w:t xml:space="preserve">reduced to writing (§112b(f)); and no international agreement may be concluded without prior consultation with</w:t>
      </w:r>
      <w:r>
        <w:t xml:space="preserve"> </w:t>
      </w:r>
      <w:r>
        <w:t xml:space="preserve">the Secretary (§112b(g)). A non-binding instrument is</w:t>
      </w:r>
      <w:r>
        <w:t xml:space="preserve"> </w:t>
      </w:r>
      <w:r>
        <w:t xml:space="preserve">“</w:t>
      </w:r>
      <w:r>
        <w:t xml:space="preserve">qualifying</w:t>
      </w:r>
      <w:r>
        <w:t xml:space="preserve">”</w:t>
      </w:r>
      <w:r>
        <w:t xml:space="preserve"> </w:t>
      </w:r>
      <w:r>
        <w:t xml:space="preserve">if made with</w:t>
      </w:r>
      <w:r>
        <w:t xml:space="preserve"> </w:t>
      </w:r>
      <w:r>
        <w:t xml:space="preserve">“</w:t>
      </w:r>
      <w:r>
        <w:t xml:space="preserve">foreign governments,</w:t>
      </w:r>
      <w:r>
        <w:t xml:space="preserve"> </w:t>
      </w:r>
      <w:r>
        <w:t xml:space="preserve">international organizations, or foreign entities, including non-state actors,</w:t>
      </w:r>
      <w:r>
        <w:t xml:space="preserve">”</w:t>
      </w:r>
      <w:r>
        <w:t xml:space="preserve"> </w:t>
      </w:r>
      <w:r>
        <w:t xml:space="preserve">and either significant to</w:t>
      </w:r>
      <w:r>
        <w:t xml:space="preserve"> </w:t>
      </w:r>
      <w:r>
        <w:t xml:space="preserve">foreign policy or the subject of a written communication from the Chair or Ranking Member of either foreign</w:t>
      </w:r>
      <w:r>
        <w:t xml:space="preserve"> </w:t>
      </w:r>
      <w:r>
        <w:t xml:space="preserve">affairs committee (§112b(k)(5)(A)). Whether an NHI group is a</w:t>
      </w:r>
      <w:r>
        <w:t xml:space="preserve"> </w:t>
      </w:r>
      <w:r>
        <w:t xml:space="preserve">“</w:t>
      </w:r>
      <w:r>
        <w:t xml:space="preserve">foreign entity</w:t>
      </w:r>
      <w:r>
        <w:t xml:space="preserve">”</w:t>
      </w:r>
      <w:r>
        <w:t xml:space="preserve"> </w:t>
      </w:r>
      <w:r>
        <w:t xml:space="preserve">is untested,</w:t>
      </w:r>
      <w:r>
        <w:t xml:space="preserve"> </w:t>
      </w:r>
      <w:r>
        <w:t xml:space="preserve">and non-binding instruments made under DoD, Armed Forces, or intelligence community authorities are excluded</w:t>
      </w:r>
      <w:r>
        <w:t xml:space="preserve"> </w:t>
      </w:r>
      <w:r>
        <w:t xml:space="preserve">(§112b(k)(5)(B)). The State Department’s implementing rule bears on the first question. A binding</w:t>
      </w:r>
      <w:r>
        <w:t xml:space="preserve"> </w:t>
      </w:r>
      <w:r>
        <w:t xml:space="preserve">“</w:t>
      </w:r>
      <w:r>
        <w:t xml:space="preserve">international</w:t>
      </w:r>
      <w:r>
        <w:t xml:space="preserve"> </w:t>
      </w:r>
      <w:r>
        <w:t xml:space="preserve">agreement</w:t>
      </w:r>
      <w:r>
        <w:t xml:space="preserve">”</w:t>
      </w:r>
      <w:r>
        <w:t xml:space="preserve"> </w:t>
      </w:r>
      <w:r>
        <w:t xml:space="preserve">requires that each party be</w:t>
      </w:r>
      <w:r>
        <w:t xml:space="preserve"> </w:t>
      </w:r>
      <w:r>
        <w:t xml:space="preserve">“</w:t>
      </w:r>
      <w:r>
        <w:t xml:space="preserve">a state, a state agency, or an intergovernmental organization</w:t>
      </w:r>
      <w:r>
        <w:t xml:space="preserve">”</w:t>
      </w:r>
      <w:r>
        <w:t xml:space="preserve"> </w:t>
      </w:r>
      <w:r>
        <w:t xml:space="preserve">(22</w:t>
      </w:r>
      <w:r>
        <w:t xml:space="preserve"> </w:t>
      </w:r>
      <w:r>
        <w:t xml:space="preserve">C.F.R. §181.2(a)(1)), so a binding arrangement with an NHI group would not be reportable as an international</w:t>
      </w:r>
      <w:r>
        <w:t xml:space="preserve"> </w:t>
      </w:r>
      <w:r>
        <w:t xml:space="preserve">agreement unless the executive treated the group as a state. A qualifying non-binding instrument may be made</w:t>
      </w:r>
      <w:r>
        <w:t xml:space="preserve"> </w:t>
      </w:r>
      <w:r>
        <w:t xml:space="preserve">with</w:t>
      </w:r>
      <w:r>
        <w:t xml:space="preserve"> </w:t>
      </w:r>
      <w:r>
        <w:t xml:space="preserve">“</w:t>
      </w:r>
      <w:r>
        <w:t xml:space="preserve">foreign entities, including non-state actors</w:t>
      </w:r>
      <w:r>
        <w:t xml:space="preserve">”</w:t>
      </w:r>
      <w:r>
        <w:t xml:space="preserve"> </w:t>
      </w:r>
      <w:r>
        <w:t xml:space="preserve">(§181.4(a)(1), (b)(2)), which is the more likely route for an</w:t>
      </w:r>
      <w:r>
        <w:t xml:space="preserve"> </w:t>
      </w:r>
      <w:r>
        <w:t xml:space="preserve">NHI arrangement to reach the committees.</w:t>
      </w:r>
      <w:r>
        <w:t xml:space="preserve"> </w:t>
      </w:r>
      <w:hyperlink r:id="rId21">
        <w:r>
          <w:rPr>
            <w:rStyle w:val="Hyperlink"/>
          </w:rPr>
          <w:t xml:space="preserve">Form F5-1</w:t>
        </w:r>
      </w:hyperlink>
      <w:r>
        <w:t xml:space="preserve"> </w:t>
      </w:r>
      <w:r>
        <w:t xml:space="preserve">is a committee letter that designates NHI instruments as qualifying and asks the</w:t>
      </w:r>
      <w:r>
        <w:t xml:space="preserve"> </w:t>
      </w:r>
      <w:r>
        <w:t xml:space="preserve">Secretary to state the executive branch’s position on both points.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Neutrality.</w:t>
      </w:r>
      <w:r>
        <w:t xml:space="preserve"> </w:t>
      </w:r>
      <w:r>
        <w:t xml:space="preserve">The Neutrality Act (18 U.S.C. §§958-962) prohibits private persons in the U.S. from organizing</w:t>
      </w:r>
      <w:r>
        <w:t xml:space="preserve"> </w:t>
      </w:r>
      <w:r>
        <w:t xml:space="preserve">military expeditions against foreign states with which the U.S. is at peace and from arming vessels for</w:t>
      </w:r>
      <w:r>
        <w:t xml:space="preserve"> </w:t>
      </w:r>
      <w:r>
        <w:t xml:space="preserve">belligerents. It applies to</w:t>
      </w:r>
      <w:r>
        <w:t xml:space="preserve"> </w:t>
      </w:r>
      <w:r>
        <w:t xml:space="preserve">“</w:t>
      </w:r>
      <w:r>
        <w:t xml:space="preserve">foreign prince or state, or … colony, district, or people</w:t>
      </w:r>
      <w:r>
        <w:t xml:space="preserve">”</w:t>
      </w:r>
      <w:r>
        <w:t xml:space="preserve"> </w:t>
      </w:r>
      <w:r>
        <w:t xml:space="preserve">with which the U.S.</w:t>
      </w:r>
      <w:r>
        <w:t xml:space="preserve"> </w:t>
      </w:r>
      <w:r>
        <w:t xml:space="preserve">is at peace (§960), and §962 forbids arming a vessel</w:t>
      </w:r>
      <w:r>
        <w:t xml:space="preserve"> </w:t>
      </w:r>
      <w:r>
        <w:t xml:space="preserve">“</w:t>
      </w:r>
      <w:r>
        <w:t xml:space="preserve">in the service of any … colony, district, or people, to</w:t>
      </w:r>
      <w:r>
        <w:t xml:space="preserve"> </w:t>
      </w:r>
      <w:r>
        <w:t xml:space="preserve">cruise, or commit hostilities against</w:t>
      </w:r>
      <w:r>
        <w:t xml:space="preserve">”</w:t>
      </w:r>
      <w:r>
        <w:t xml:space="preserve"> </w:t>
      </w:r>
      <w:r>
        <w:t xml:space="preserve">another with which the United States is at peace. Whether an NHI group</w:t>
      </w:r>
      <w:r>
        <w:t xml:space="preserve"> </w:t>
      </w:r>
      <w:r>
        <w:t xml:space="preserve">is a</w:t>
      </w:r>
      <w:r>
        <w:t xml:space="preserve"> </w:t>
      </w:r>
      <w:r>
        <w:t xml:space="preserve">“</w:t>
      </w:r>
      <w:r>
        <w:t xml:space="preserve">people</w:t>
      </w:r>
      <w:r>
        <w:t xml:space="preserve">”</w:t>
      </w:r>
      <w:r>
        <w:t xml:space="preserve"> </w:t>
      </w:r>
      <w:r>
        <w:t xml:space="preserve">under these provisions is untested, but the Supreme Court read the word broadly in construing</w:t>
      </w:r>
      <w:r>
        <w:t xml:space="preserve"> </w:t>
      </w:r>
      <w:r>
        <w:t xml:space="preserve">§962’s predecessor (Rev. Stat. §5283):</w:t>
      </w:r>
      <w:r>
        <w:t xml:space="preserve"> </w:t>
      </w:r>
      <w:r>
        <w:t xml:space="preserve">“</w:t>
      </w:r>
      <w:r>
        <w:t xml:space="preserve">people</w:t>
      </w:r>
      <w:r>
        <w:t xml:space="preserve">”</w:t>
      </w:r>
      <w:r>
        <w:t xml:space="preserve"> </w:t>
      </w:r>
      <w:r>
        <w:t xml:space="preserve">there</w:t>
      </w:r>
      <w:r>
        <w:t xml:space="preserve"> </w:t>
      </w:r>
      <w:r>
        <w:t xml:space="preserve">“</w:t>
      </w:r>
      <w:r>
        <w:t xml:space="preserve">covers … any insurgent or insurrectionary</w:t>
      </w:r>
      <w:r>
        <w:t xml:space="preserve"> </w:t>
      </w:r>
      <w:r>
        <w:t xml:space="preserve">‘</w:t>
      </w:r>
      <w:r>
        <w:t xml:space="preserve">body of</w:t>
      </w:r>
      <w:r>
        <w:t xml:space="preserve"> </w:t>
      </w:r>
      <w:r>
        <w:t xml:space="preserve">people acting together, undertaking and conducting hostilities,</w:t>
      </w:r>
      <w:r>
        <w:t xml:space="preserve">’</w:t>
      </w:r>
      <w:r>
        <w:t xml:space="preserve">”</w:t>
      </w:r>
      <w:r>
        <w:t xml:space="preserve"> </w:t>
      </w:r>
      <w:r>
        <w:t xml:space="preserve">whether or not the United States has</w:t>
      </w:r>
      <w:r>
        <w:t xml:space="preserve"> </w:t>
      </w:r>
      <w:r>
        <w:t xml:space="preserve">recognized its belligerency.</w:t>
      </w:r>
      <w:r>
        <w:t xml:space="preserve"> </w:t>
      </w:r>
      <w:r>
        <w:rPr>
          <w:iCs/>
          <w:i/>
        </w:rPr>
        <w:t xml:space="preserve">The Three Friends</w:t>
      </w:r>
      <w:r>
        <w:t xml:space="preserve">, 166 U.S. 1, 62-63 (1897). On that reading, an organized NHI</w:t>
      </w:r>
      <w:r>
        <w:t xml:space="preserve"> </w:t>
      </w:r>
      <w:r>
        <w:t xml:space="preserve">group conducting hostilities against another could be a</w:t>
      </w:r>
      <w:r>
        <w:t xml:space="preserve"> </w:t>
      </w:r>
      <w:r>
        <w:t xml:space="preserve">“</w:t>
      </w:r>
      <w:r>
        <w:t xml:space="preserve">people,</w:t>
      </w:r>
      <w:r>
        <w:t xml:space="preserve">”</w:t>
      </w:r>
      <w:r>
        <w:t xml:space="preserve"> </w:t>
      </w:r>
      <w:r>
        <w:t xml:space="preserve">and a private U.S. person who equips a</w:t>
      </w:r>
      <w:r>
        <w:t xml:space="preserve"> </w:t>
      </w:r>
      <w:r>
        <w:t xml:space="preserve">craft or organizes an enterprise to fight on one side would face §§960 and 962 if the United States is</w:t>
      </w:r>
      <w:r>
        <w:t xml:space="preserve"> </w:t>
      </w:r>
      <w:r>
        <w:t xml:space="preserve">“</w:t>
      </w:r>
      <w:r>
        <w:t xml:space="preserve">at</w:t>
      </w:r>
      <w:r>
        <w:t xml:space="preserve"> </w:t>
      </w:r>
      <w:r>
        <w:t xml:space="preserve">peace</w:t>
      </w:r>
      <w:r>
        <w:t xml:space="preserve">”</w:t>
      </w:r>
      <w:r>
        <w:t xml:space="preserve"> </w:t>
      </w:r>
      <w:r>
        <w:t xml:space="preserve">with the other.</w:t>
      </w:r>
      <w:r>
        <w:t xml:space="preserve"> </w:t>
      </w:r>
      <w:r>
        <w:rPr>
          <w:iCs/>
          <w:i/>
        </w:rPr>
        <w:t xml:space="preserve">The Three Friends</w:t>
      </w:r>
      <w:r>
        <w:t xml:space="preserve"> </w:t>
      </w:r>
      <w:r>
        <w:t xml:space="preserve">looked to the political branches on whether a state of insurrectionary</w:t>
      </w:r>
      <w:r>
        <w:t xml:space="preserve"> </w:t>
      </w:r>
      <w:r>
        <w:t xml:space="preserve">war existed (</w:t>
      </w:r>
      <w:r>
        <w:rPr>
          <w:iCs/>
          <w:i/>
        </w:rPr>
        <w:t xml:space="preserve">id.</w:t>
      </w:r>
      <w:r>
        <w:t xml:space="preserve"> </w:t>
      </w:r>
      <w:r>
        <w:t xml:space="preserve">at 63-65), but modern courts treat</w:t>
      </w:r>
      <w:r>
        <w:t xml:space="preserve"> </w:t>
      </w:r>
      <w:r>
        <w:t xml:space="preserve">“</w:t>
      </w:r>
      <w:r>
        <w:t xml:space="preserve">at peace</w:t>
      </w:r>
      <w:r>
        <w:t xml:space="preserve">”</w:t>
      </w:r>
      <w:r>
        <w:t xml:space="preserve"> </w:t>
      </w:r>
      <w:r>
        <w:t xml:space="preserve">as an element for the jury: it means the absence of</w:t>
      </w:r>
      <w:r>
        <w:t xml:space="preserve"> </w:t>
      </w:r>
      <w:r>
        <w:t xml:space="preserve">a declared war or active military operations between the United States and the target, and the term is not void</w:t>
      </w:r>
      <w:r>
        <w:t xml:space="preserve"> </w:t>
      </w:r>
      <w:r>
        <w:t xml:space="preserve">for vagueness.</w:t>
      </w:r>
      <w:r>
        <w:t xml:space="preserve"> </w:t>
      </w:r>
      <w:r>
        <w:rPr>
          <w:iCs/>
          <w:i/>
        </w:rPr>
        <w:t xml:space="preserve">United States v. Yasith Chhun</w:t>
      </w:r>
      <w:r>
        <w:t xml:space="preserve">, 513 F. Supp. 2d 1179, 1181-85 (C.D. Cal. 2007), aff’d, 744 F.3d</w:t>
      </w:r>
      <w:r>
        <w:t xml:space="preserve"> </w:t>
      </w:r>
      <w:r>
        <w:t xml:space="preserve">1110 (9th Cir. 2014). Executive statements about the United States’ relations with an NHI group would be strong</w:t>
      </w:r>
      <w:r>
        <w:t xml:space="preserve"> </w:t>
      </w:r>
      <w:r>
        <w:t xml:space="preserve">evidence, and any U.S. military operations against the group would defeat the</w:t>
      </w:r>
      <w:r>
        <w:t xml:space="preserve"> </w:t>
      </w:r>
      <w:r>
        <w:t xml:space="preserve">“</w:t>
      </w:r>
      <w:r>
        <w:t xml:space="preserve">at peace</w:t>
      </w:r>
      <w:r>
        <w:t xml:space="preserve">”</w:t>
      </w:r>
      <w:r>
        <w:t xml:space="preserve"> </w:t>
      </w:r>
      <w:r>
        <w:t xml:space="preserve">element. The statute is still used. A court</w:t>
      </w:r>
      <w:r>
        <w:t xml:space="preserve"> </w:t>
      </w:r>
      <w:r>
        <w:t xml:space="preserve">trying a 2004 prosecution stated its elements as</w:t>
      </w:r>
      <w:r>
        <w:t xml:space="preserve"> </w:t>
      </w:r>
      <w:r>
        <w:t xml:space="preserve">“</w:t>
      </w:r>
      <w:r>
        <w:t xml:space="preserve">1) a military expedition organized in this country; 2) against the</w:t>
      </w:r>
      <w:r>
        <w:t xml:space="preserve"> </w:t>
      </w:r>
      <w:r>
        <w:t xml:space="preserve">territory or dominion of any foreign prince or state, or of any colony, district, or people with whom the United</w:t>
      </w:r>
      <w:r>
        <w:t xml:space="preserve"> </w:t>
      </w:r>
      <w:r>
        <w:t xml:space="preserve">States is at peace; and 3) defendant provided means for the expedition in this district, with knowledge of its</w:t>
      </w:r>
      <w:r>
        <w:t xml:space="preserve"> </w:t>
      </w:r>
      <w:r>
        <w:t xml:space="preserve">character,</w:t>
      </w:r>
      <w:r>
        <w:t xml:space="preserve">”</w:t>
      </w:r>
      <w:r>
        <w:t xml:space="preserve"> </w:t>
      </w:r>
      <w:r>
        <w:t xml:space="preserve">and convicted defendants who organized travel from Virginia to join attacks on India.</w:t>
      </w:r>
      <w:r>
        <w:t xml:space="preserve"> </w:t>
      </w:r>
      <w:r>
        <w:rPr>
          <w:iCs/>
          <w:i/>
        </w:rPr>
        <w:t xml:space="preserve">United States v.</w:t>
      </w:r>
      <w:r>
        <w:rPr>
          <w:iCs/>
          <w:i/>
        </w:rPr>
        <w:t xml:space="preserve"> </w:t>
      </w:r>
      <w:r>
        <w:rPr>
          <w:iCs/>
          <w:i/>
        </w:rPr>
        <w:t xml:space="preserve">Khan</w:t>
      </w:r>
      <w:r>
        <w:t xml:space="preserve">, 309 F. Supp. 2d 789, 818-19 (E.D. Va. 2004). Later prosecutions have involved planned coups or armed</w:t>
      </w:r>
      <w:r>
        <w:t xml:space="preserve"> </w:t>
      </w:r>
      <w:r>
        <w:t xml:space="preserve">operations against Laos, Cambodia, and Venezuela (</w:t>
      </w:r>
      <w:r>
        <w:rPr>
          <w:iCs/>
          <w:i/>
        </w:rPr>
        <w:t xml:space="preserve">United States v. Jack</w:t>
      </w:r>
      <w:r>
        <w:t xml:space="preserve">, 2010 WL 4718613 (E.D. Cal. Nov. 12,</w:t>
      </w:r>
      <w:r>
        <w:t xml:space="preserve"> </w:t>
      </w:r>
      <w:r>
        <w:t xml:space="preserve">2010);</w:t>
      </w:r>
      <w:r>
        <w:t xml:space="preserve"> </w:t>
      </w:r>
      <w:r>
        <w:rPr>
          <w:iCs/>
          <w:i/>
        </w:rPr>
        <w:t xml:space="preserve">Chhun</w:t>
      </w:r>
      <w:r>
        <w:t xml:space="preserve">, above;</w:t>
      </w:r>
      <w:r>
        <w:t xml:space="preserve"> </w:t>
      </w:r>
      <w:r>
        <w:rPr>
          <w:iCs/>
          <w:i/>
        </w:rPr>
        <w:t xml:space="preserve">United States v. Lang</w:t>
      </w:r>
      <w:r>
        <w:t xml:space="preserve">, 2025 WL</w:t>
      </w:r>
      <w:r>
        <w:t xml:space="preserve"> </w:t>
      </w:r>
      <w:r>
        <w:t xml:space="preserve">2085362 (M.D. Fla. July 24, 2025)). In each the target was a recognized state.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Technology exchange.</w:t>
      </w:r>
      <w:r>
        <w:t xml:space="preserve"> </w:t>
      </w:r>
      <w:r>
        <w:t xml:space="preserve">Technology received from one NHI group would be subject to export controls on further</w:t>
      </w:r>
      <w:r>
        <w:t xml:space="preserve"> </w:t>
      </w:r>
      <w:r>
        <w:t xml:space="preserve">transfer; technology transferred to an NHI group would be an</w:t>
      </w:r>
      <w:r>
        <w:t xml:space="preserve"> </w:t>
      </w:r>
      <w:r>
        <w:t xml:space="preserve">“</w:t>
      </w:r>
      <w:r>
        <w:t xml:space="preserve">export</w:t>
      </w:r>
      <w:r>
        <w:t xml:space="preserve">”</w:t>
      </w:r>
      <w:r>
        <w:t xml:space="preserve"> </w:t>
      </w:r>
      <w:r>
        <w:t xml:space="preserve">if it leaves U.S. jurisdiction, raising</w:t>
      </w:r>
      <w:r>
        <w:t xml:space="preserve"> </w:t>
      </w:r>
      <w:r>
        <w:t xml:space="preserve">ITAR/EAR licensing questions without any designated country. Investments involving NHI-derived technology could</w:t>
      </w:r>
      <w:r>
        <w:t xml:space="preserve"> </w:t>
      </w:r>
      <w:r>
        <w:t xml:space="preserve">fall under CFIUS review if foreign persons are involved.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Law of armed conflict.</w:t>
      </w:r>
      <w:r>
        <w:t xml:space="preserve"> </w:t>
      </w:r>
      <w:r>
        <w:t xml:space="preserve">If hostilities occur, the LOAC applies to U.S. forces regardless of the adversary’s</w:t>
      </w:r>
      <w:r>
        <w:t xml:space="preserve"> </w:t>
      </w:r>
      <w:r>
        <w:t xml:space="preserve">nature. DoD policy is that</w:t>
      </w:r>
      <w:r>
        <w:t xml:space="preserve"> </w:t>
      </w:r>
      <w:r>
        <w:t xml:space="preserve">“</w:t>
      </w:r>
      <w:r>
        <w:t xml:space="preserve">[m]embers of the DoD Components comply with the law of war during all armed</w:t>
      </w:r>
      <w:r>
        <w:t xml:space="preserve"> </w:t>
      </w:r>
      <w:r>
        <w:t xml:space="preserve">conflicts, however characterized,</w:t>
      </w:r>
      <w:r>
        <w:t xml:space="preserve">”</w:t>
      </w:r>
      <w:r>
        <w:t xml:space="preserve"> </w:t>
      </w:r>
      <w:r>
        <w:t xml:space="preserve">and in other military operations act</w:t>
      </w:r>
      <w:r>
        <w:t xml:space="preserve"> </w:t>
      </w:r>
      <w:r>
        <w:t xml:space="preserve">“</w:t>
      </w:r>
      <w:r>
        <w:t xml:space="preserve">consistent with the law of war’s</w:t>
      </w:r>
      <w:r>
        <w:t xml:space="preserve"> </w:t>
      </w:r>
      <w:r>
        <w:t xml:space="preserve">fundamental principles and rules,</w:t>
      </w:r>
      <w:r>
        <w:t xml:space="preserve">”</w:t>
      </w:r>
      <w:r>
        <w:t xml:space="preserve"> </w:t>
      </w:r>
      <w:r>
        <w:t xml:space="preserve">including Common Article 3 and the principles of military necessity,</w:t>
      </w:r>
      <w:r>
        <w:t xml:space="preserve"> </w:t>
      </w:r>
      <w:r>
        <w:t xml:space="preserve">humanity, distinction, proportionality, and honor. DoD Directive 2311.01,</w:t>
      </w:r>
      <w:r>
        <w:t xml:space="preserve"> </w:t>
      </w:r>
      <w:r>
        <w:rPr>
          <w:iCs/>
          <w:i/>
        </w:rPr>
        <w:t xml:space="preserve">DoD Law of War Program</w:t>
      </w:r>
      <w:r>
        <w:t xml:space="preserve"> </w:t>
      </w:r>
      <w:r>
        <w:t xml:space="preserve">¶1.2.a</w:t>
      </w:r>
      <w:r>
        <w:t xml:space="preserve"> </w:t>
      </w:r>
      <w:r>
        <w:t xml:space="preserve">(July 2, 2020). Distinction,</w:t>
      </w:r>
      <w:r>
        <w:t xml:space="preserve"> </w:t>
      </w:r>
      <w:r>
        <w:t xml:space="preserve">proportionality, precaution, and humane treatment of captured beings (</w:t>
      </w:r>
      <w:hyperlink r:id="rId23">
        <w:r>
          <w:rPr>
            <w:rStyle w:val="Hyperlink"/>
          </w:rPr>
          <w:t xml:space="preserve">Issue F2</w:t>
        </w:r>
      </w:hyperlink>
      <w:r>
        <w:t xml:space="preserve">) would govern.</w:t>
      </w:r>
    </w:p>
    <w:bookmarkEnd w:id="24"/>
    <w:bookmarkStart w:id="26" w:name="recognition-and-its-consequences"/>
    <w:p>
      <w:pPr>
        <w:pStyle w:val="Heading2"/>
      </w:pPr>
      <w:r>
        <w:t xml:space="preserve">2. Recognition and its consequences</w:t>
      </w:r>
    </w:p>
    <w:p>
      <w:pPr>
        <w:pStyle w:val="FirstParagraph"/>
      </w:pPr>
      <w:r>
        <w:t xml:space="preserve">Whether an NHI group is a state, a belligerent, or neither is for the political branches, and courts accept the</w:t>
      </w:r>
      <w:r>
        <w:t xml:space="preserve"> </w:t>
      </w:r>
      <w:r>
        <w:t xml:space="preserve">executive’s determination.</w:t>
      </w:r>
      <w:r>
        <w:t xml:space="preserve"> </w:t>
      </w:r>
      <w:r>
        <w:rPr>
          <w:iCs/>
          <w:i/>
        </w:rPr>
        <w:t xml:space="preserve">Guaranty Trust Co. v. United States</w:t>
      </w:r>
      <w:r>
        <w:t xml:space="preserve">, 304 U.S. 126, 137-38 (1938). International practice</w:t>
      </w:r>
      <w:r>
        <w:t xml:space="preserve"> </w:t>
      </w:r>
      <w:r>
        <w:t xml:space="preserve">looks to the criteria in the Montevideo Convention on the Rights and Duties of States (1933), art. 1: a permanent</w:t>
      </w:r>
      <w:r>
        <w:t xml:space="preserve"> </w:t>
      </w:r>
      <w:r>
        <w:t xml:space="preserve">population, a defined territory, a government, and capacity to enter into relations with other states. An NHI</w:t>
      </w:r>
      <w:r>
        <w:t xml:space="preserve"> </w:t>
      </w:r>
      <w:r>
        <w:t xml:space="preserve">civilization might meet the last three without the second, which is one reason a status short of statehood, such as</w:t>
      </w:r>
      <w:r>
        <w:t xml:space="preserve"> </w:t>
      </w:r>
      <w:r>
        <w:t xml:space="preserve">international legal personality for particular purposes (</w:t>
      </w:r>
      <w:hyperlink r:id="rId25">
        <w:r>
          <w:rPr>
            <w:rStyle w:val="Hyperlink"/>
          </w:rPr>
          <w:t xml:space="preserve">Issue F1</w:t>
        </w:r>
      </w:hyperlink>
      <w:r>
        <w:t xml:space="preserve">, §2.3B), is the likelier path. Recognition decides</w:t>
      </w:r>
      <w:r>
        <w:t xml:space="preserve"> </w:t>
      </w:r>
      <w:r>
        <w:t xml:space="preserve">practical questions: whether the group could sue or be sued in U.S. courts, whether the Foreign Sovereign Immunities</w:t>
      </w:r>
      <w:r>
        <w:t xml:space="preserve"> </w:t>
      </w:r>
      <w:r>
        <w:t xml:space="preserve">Act would apply, whether the Logan Act’s</w:t>
      </w:r>
      <w:r>
        <w:t xml:space="preserve"> </w:t>
      </w:r>
      <w:r>
        <w:t xml:space="preserve">“</w:t>
      </w:r>
      <w:r>
        <w:t xml:space="preserve">foreign government</w:t>
      </w:r>
      <w:r>
        <w:t xml:space="preserve">”</w:t>
      </w:r>
      <w:r>
        <w:t xml:space="preserve"> </w:t>
      </w:r>
      <w:r>
        <w:t xml:space="preserve">element is met, and whether a binding agreement</w:t>
      </w:r>
      <w:r>
        <w:t xml:space="preserve"> </w:t>
      </w:r>
      <w:r>
        <w:t xml:space="preserve">with it is an</w:t>
      </w:r>
      <w:r>
        <w:t xml:space="preserve"> </w:t>
      </w:r>
      <w:r>
        <w:t xml:space="preserve">“</w:t>
      </w:r>
      <w:r>
        <w:t xml:space="preserve">international agreement</w:t>
      </w:r>
      <w:r>
        <w:t xml:space="preserve">”</w:t>
      </w:r>
      <w:r>
        <w:t xml:space="preserve"> </w:t>
      </w:r>
      <w:r>
        <w:t xml:space="preserve">(§1).</w:t>
      </w:r>
    </w:p>
    <w:bookmarkEnd w:id="26"/>
    <w:bookmarkStart w:id="27" w:name="X3ffe4425af8f72ef1f8717f42a1696d064b4e6d"/>
    <w:p>
      <w:pPr>
        <w:pStyle w:val="Heading2"/>
      </w:pPr>
      <w:r>
        <w:t xml:space="preserve">3. War, belligerency, and neutrality procedure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Belligerency.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The Prize Cases</w:t>
      </w:r>
      <w:r>
        <w:t xml:space="preserve">, 67 U.S. (2 Black) 635 (1863), the Court upheld the President’s blockade of</w:t>
      </w:r>
      <w:r>
        <w:t xml:space="preserve"> </w:t>
      </w:r>
      <w:r>
        <w:t xml:space="preserve">Confederate ports, treating the insurrection as war for purposes of the law of prize without recognizing the</w:t>
      </w:r>
      <w:r>
        <w:t xml:space="preserve"> </w:t>
      </w:r>
      <w:r>
        <w:t xml:space="preserve">Confederacy as a state. A conflict with or among NHI groups could be treated the same way: as war in fact for</w:t>
      </w:r>
      <w:r>
        <w:t xml:space="preserve"> </w:t>
      </w:r>
      <w:r>
        <w:t xml:space="preserve">purposes of the laws of war and neutrality, without recognition.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Neutrality proclamations.</w:t>
      </w:r>
      <w:r>
        <w:t xml:space="preserve"> </w:t>
      </w:r>
      <w:r>
        <w:t xml:space="preserve">When the President, or Congress by concurrent resolution, finds</w:t>
      </w:r>
      <w:r>
        <w:t xml:space="preserve"> </w:t>
      </w:r>
      <w:r>
        <w:t xml:space="preserve">“</w:t>
      </w:r>
      <w:r>
        <w:t xml:space="preserve">that there exists a</w:t>
      </w:r>
      <w:r>
        <w:t xml:space="preserve"> </w:t>
      </w:r>
      <w:r>
        <w:t xml:space="preserve">state of war between foreign states</w:t>
      </w:r>
      <w:r>
        <w:t xml:space="preserve">”</w:t>
      </w:r>
      <w:r>
        <w:t xml:space="preserve"> </w:t>
      </w:r>
      <w:r>
        <w:t xml:space="preserve">and that action is needed to protect U.S. security or citizens, the President</w:t>
      </w:r>
      <w:r>
        <w:t xml:space="preserve"> </w:t>
      </w:r>
      <w:r>
        <w:t xml:space="preserve">issues a proclamation naming the states involved (22 U.S.C. §441(a)), which triggers the Neutrality Act of 1939’s</w:t>
      </w:r>
      <w:r>
        <w:t xml:space="preserve"> </w:t>
      </w:r>
      <w:r>
        <w:t xml:space="preserve">restrictions. The statute speaks of</w:t>
      </w:r>
      <w:r>
        <w:t xml:space="preserve"> </w:t>
      </w:r>
      <w:r>
        <w:t xml:space="preserve">“</w:t>
      </w:r>
      <w:r>
        <w:t xml:space="preserve">foreign states</w:t>
      </w:r>
      <w:r>
        <w:t xml:space="preserve">”</w:t>
      </w:r>
      <w:r>
        <w:t xml:space="preserve"> </w:t>
      </w:r>
      <w:r>
        <w:t xml:space="preserve">and would need amendment to reach a conflict between NHI</w:t>
      </w:r>
      <w:r>
        <w:t xml:space="preserve"> </w:t>
      </w:r>
      <w:r>
        <w:t xml:space="preserve">groups.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Trading with the Enemy Act.</w:t>
      </w:r>
      <w:r>
        <w:t xml:space="preserve"> </w:t>
      </w:r>
      <w:r>
        <w:t xml:space="preserve">Its definitions turn on nations with which the United States is at war (50 U.S.C.</w:t>
      </w:r>
      <w:r>
        <w:t xml:space="preserve"> </w:t>
      </w:r>
      <w:r>
        <w:t xml:space="preserve">§4302), so it too would not reach an NHI group without amendment; IEEPA sanctions, which can target any</w:t>
      </w:r>
      <w:r>
        <w:t xml:space="preserve"> </w:t>
      </w:r>
      <w:r>
        <w:t xml:space="preserve">“</w:t>
      </w:r>
      <w:r>
        <w:t xml:space="preserve">foreign</w:t>
      </w:r>
      <w:r>
        <w:t xml:space="preserve"> </w:t>
      </w:r>
      <w:r>
        <w:t xml:space="preserve">country or a national thereof</w:t>
      </w:r>
      <w:r>
        <w:t xml:space="preserve">”</w:t>
      </w:r>
      <w:r>
        <w:t xml:space="preserve"> </w:t>
      </w:r>
      <w:r>
        <w:t xml:space="preserve">and property in which they have an interest, are the more flexible tool.</w:t>
      </w:r>
    </w:p>
    <w:bookmarkEnd w:id="27"/>
    <w:bookmarkStart w:id="28" w:name="technology-transfer-in-more-detail"/>
    <w:p>
      <w:pPr>
        <w:pStyle w:val="Heading2"/>
      </w:pPr>
      <w:r>
        <w:t xml:space="preserve">4. Technology transfer in more detail</w:t>
      </w:r>
    </w:p>
    <w:p>
      <w:pPr>
        <w:pStyle w:val="FirstParagraph"/>
      </w:pPr>
      <w:r>
        <w:t xml:space="preserve">Exports of defense articles and services require State Department licenses under the Arms Export Control Act and</w:t>
      </w:r>
      <w:r>
        <w:t xml:space="preserve"> </w:t>
      </w:r>
      <w:r>
        <w:t xml:space="preserve">ITAR, and the license application identifies the end user and end use. A transfer to an NHI group would have no</w:t>
      </w:r>
      <w:r>
        <w:t xml:space="preserve"> </w:t>
      </w:r>
      <w:r>
        <w:t xml:space="preserve">ITAR country category; the government would treat it as an export to an unlisted end user and could deny it outright.</w:t>
      </w:r>
      <w:r>
        <w:t xml:space="preserve"> </w:t>
      </w:r>
      <w:r>
        <w:t xml:space="preserve">Investments by foreign persons in U.S. businesses that hold NHI-derived technology would be reviewable by CFIUS</w:t>
      </w:r>
      <w:r>
        <w:t xml:space="preserve"> </w:t>
      </w:r>
      <w:r>
        <w:t xml:space="preserve">as transactions involving</w:t>
      </w:r>
      <w:r>
        <w:t xml:space="preserve"> </w:t>
      </w:r>
      <w:r>
        <w:t xml:space="preserve">“</w:t>
      </w:r>
      <w:r>
        <w:t xml:space="preserve">critical technologies</w:t>
      </w:r>
      <w:r>
        <w:t xml:space="preserve">”</w:t>
      </w:r>
      <w:r>
        <w:t xml:space="preserve"> </w:t>
      </w:r>
      <w:r>
        <w:t xml:space="preserve">if the technology is controlled. Domestic holders of such</w:t>
      </w:r>
      <w:r>
        <w:t xml:space="preserve"> </w:t>
      </w:r>
      <w:r>
        <w:t xml:space="preserve">technology should expect both regimes to apply to any foreign partner.</w:t>
      </w:r>
    </w:p>
    <w:bookmarkEnd w:id="28"/>
    <w:bookmarkStart w:id="29" w:name="practice-and-policy-points"/>
    <w:p>
      <w:pPr>
        <w:pStyle w:val="Heading2"/>
      </w:pPr>
      <w:r>
        <w:t xml:space="preserve">5. Practice and policy points</w:t>
      </w:r>
    </w:p>
    <w:p>
      <w:pPr>
        <w:pStyle w:val="Compact"/>
        <w:numPr>
          <w:ilvl w:val="0"/>
          <w:numId w:val="1004"/>
        </w:numPr>
      </w:pPr>
      <w:r>
        <w:t xml:space="preserve">Congress should require reporting of any agreement, understanding, or arrangement with any NHI group under 1</w:t>
      </w:r>
      <w:r>
        <w:t xml:space="preserve"> </w:t>
      </w:r>
      <w:r>
        <w:t xml:space="preserve">U.S.C. §112b and of any hostilities under the War Powers Resolution.</w:t>
      </w:r>
    </w:p>
    <w:p>
      <w:pPr>
        <w:pStyle w:val="Compact"/>
        <w:numPr>
          <w:ilvl w:val="0"/>
          <w:numId w:val="1004"/>
        </w:numPr>
      </w:pPr>
      <w:r>
        <w:t xml:space="preserve">The executive should articulate its position on recognition and on whether existing statutes (Logan Act,</w:t>
      </w:r>
      <w:r>
        <w:t xml:space="preserve"> </w:t>
      </w:r>
      <w:r>
        <w:t xml:space="preserve">Neutrality Act, export controls) apply to NHI groups.</w:t>
      </w:r>
    </w:p>
    <w:p>
      <w:pPr>
        <w:pStyle w:val="Compact"/>
        <w:numPr>
          <w:ilvl w:val="0"/>
          <w:numId w:val="1004"/>
        </w:numPr>
      </w:pPr>
      <w:r>
        <w:t xml:space="preserve">Private actors (including contractors) should avoid any dealings that could be construed as military</w:t>
      </w:r>
      <w:r>
        <w:t xml:space="preserve"> </w:t>
      </w:r>
      <w:r>
        <w:t xml:space="preserve">assistance to one NHI group against another without government authorization.</w:t>
      </w:r>
    </w:p>
    <w:bookmarkEnd w:id="29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Conflicts Among NHI Groups and U.S. Involvement: Recognition, War Powers, ...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21" Type="http://schemas.openxmlformats.org/officeDocument/2006/relationships/hyperlink" Target="https://nhilaw.com/forms/f5-1.html" TargetMode="External"/><Relationship Id="rId25" Type="http://schemas.openxmlformats.org/officeDocument/2006/relationships/hyperlink" Target="https://nhilaw.com/issues/f1.html" TargetMode="External"/><Relationship Id="rId23" Type="http://schemas.openxmlformats.org/officeDocument/2006/relationships/hyperlink" Target="https://nhilaw.com/issues/f2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21" Type="http://schemas.openxmlformats.org/officeDocument/2006/relationships/hyperlink" Target="https://nhilaw.com/forms/f5-1.html" TargetMode="External"/><Relationship Id="rId25" Type="http://schemas.openxmlformats.org/officeDocument/2006/relationships/hyperlink" Target="https://nhilaw.com/issues/f1.html" TargetMode="External"/><Relationship Id="rId23" Type="http://schemas.openxmlformats.org/officeDocument/2006/relationships/hyperlink" Target="https://nhilaw.com/issues/f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Conflicts Among NHI Groups and U.S. Involvement: Recognition, War Powers, Neutrality, and Technology Transfer</dc:title>
  <dc:creator>nhilaw.com</dc:creator>
  <cp:keywords/>
  <dcterms:created xsi:type="dcterms:W3CDTF">2026-10-19T03:15:15Z</dcterms:created>
  <dcterms:modified xsi:type="dcterms:W3CDTF">2026-10-19T03:15:15Z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nhilaw.com/issues/f5.html</vt:lpwstr>
  </property>
</Properties>
</file>