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87d786c9a157433f9b85dd167bf3397b1fef371"/>
    <w:p>
      <w:pPr>
        <w:pStyle w:val="Heading1"/>
      </w:pPr>
      <w:r>
        <w:t xml:space="preserve">Form F6-1. United Kingdom Freedom of Information Act 2000 Request to the Ministry of Defence for UAP Records Involving U.S. Forces or Shared Data</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https://nhilaw.com/forms/f6-1.html</w:t>
      </w:r>
    </w:p>
    <w:p>
      <w:pPr>
        <w:pStyle w:val="BodyText"/>
        <w:spacing w:after="160" w:line="259" w:lineRule="auto"/>
      </w:pPr>
      <w:r>
        <w:rPr>
          <w:bCs/>
          <w:b/>
        </w:rPr>
        <w:t xml:space="preserve">Use.</w:t>
      </w:r>
      <w:r>
        <w:t xml:space="preserve"> </w:t>
      </w:r>
      <w:hyperlink r:id="rId20">
        <w:r>
          <w:rPr>
            <w:rStyle w:val="Hyperlink"/>
          </w:rPr>
          <w:t xml:space="preserve">Issue F6</w:t>
        </w:r>
      </w:hyperlink>
      <w:r>
        <w:t xml:space="preserve"> </w:t>
      </w:r>
      <w:r>
        <w:t xml:space="preserve">suggests foreign archives as a route to records about events involving U.S.</w:t>
      </w:r>
      <w:r>
        <w:t xml:space="preserve"> </w:t>
      </w:r>
      <w:r>
        <w:t xml:space="preserve">personnel that U.S. agencies withhold. The U.K. Freedom of Information Act 2000 (</w:t>
      </w:r>
      <w:r>
        <w:t xml:space="preserve">“</w:t>
      </w:r>
      <w:r>
        <w:t xml:space="preserve">FOIA 2000</w:t>
      </w:r>
      <w:r>
        <w:t xml:space="preserve">”</w:t>
      </w:r>
      <w:r>
        <w:t xml:space="preserve">) gives</w:t>
      </w:r>
      <w:r>
        <w:t xml:space="preserve"> </w:t>
      </w:r>
      <w:r>
        <w:t xml:space="preserve">“</w:t>
      </w:r>
      <w:r>
        <w:t xml:space="preserve">any person,</w:t>
      </w:r>
      <w:r>
        <w:t xml:space="preserve">”</w:t>
      </w:r>
      <w:r>
        <w:t xml:space="preserve"> </w:t>
      </w:r>
      <w:r>
        <w:t xml:space="preserve">of any nationality, a right to be told whether a public authority holds requested</w:t>
      </w:r>
      <w:r>
        <w:t xml:space="preserve"> </w:t>
      </w:r>
      <w:r>
        <w:t xml:space="preserve">information and to have it communicated (s. 1(1)). A request must be in writing, state the requester’s</w:t>
      </w:r>
      <w:r>
        <w:t xml:space="preserve"> </w:t>
      </w:r>
      <w:r>
        <w:t xml:space="preserve">name and an address for correspondence, and describe the information (s. 8(1)); email qualifies. The</w:t>
      </w:r>
      <w:r>
        <w:t xml:space="preserve"> </w:t>
      </w:r>
      <w:r>
        <w:t xml:space="preserve">authority must respond promptly and no later than the twentieth working day after receipt (s. 10(1)).</w:t>
      </w:r>
      <w:r>
        <w:t xml:space="preserve"> </w:t>
      </w:r>
      <w:r>
        <w:t xml:space="preserve">Exemptions likely to be cited are s. 23 (information supplied by or relating to security bodies), s. 24</w:t>
      </w:r>
      <w:r>
        <w:t xml:space="preserve"> </w:t>
      </w:r>
      <w:r>
        <w:t xml:space="preserve">(national security), s. 26 (defence), and s. 27 (international relations, which covers information</w:t>
      </w:r>
      <w:r>
        <w:t xml:space="preserve"> </w:t>
      </w:r>
      <w:r>
        <w:t xml:space="preserve">received in confidence from another state). The Ministry of Defence’s UFO desk closed in 2009, and its</w:t>
      </w:r>
      <w:r>
        <w:t xml:space="preserve"> </w:t>
      </w:r>
      <w:r>
        <w:t xml:space="preserve">files through 2009 are at The National Archives (TNA); this request targets records outside those</w:t>
      </w:r>
      <w:r>
        <w:t xml:space="preserve"> </w:t>
      </w:r>
      <w:r>
        <w:t xml:space="preserve">releases.</w:t>
      </w:r>
    </w:p>
    <w:p>
      <w:pPr>
        <w:pStyle w:val="BodyText"/>
        <w:spacing w:after="160" w:line="259" w:lineRule="auto"/>
      </w:pPr>
      <w:r>
        <w:rPr>
          <w:bCs/>
          <w:b/>
        </w:rPr>
        <w:t xml:space="preserve">When to use.</w:t>
      </w:r>
      <w:r>
        <w:t xml:space="preserve"> </w:t>
      </w:r>
      <w:r>
        <w:t xml:space="preserve">A UK freedom of information request to the Ministry of Defence for UAP records involving U.S. forces.</w:t>
      </w:r>
      <w:r>
        <w:t xml:space="preserve"> </w:t>
      </w:r>
      <w:r>
        <w:rPr>
          <w:bCs/>
          <w:b/>
        </w:rPr>
        <w:t xml:space="preserve">Not for:</w:t>
      </w:r>
      <w:r>
        <w:t xml:space="preserve"> </w:t>
      </w:r>
      <w:r>
        <w:t xml:space="preserve">Requests to U.S. agencies (</w:t>
      </w:r>
      <w:hyperlink r:id="rId21">
        <w:r>
          <w:rPr>
            <w:rStyle w:val="Hyperlink"/>
          </w:rPr>
          <w:t xml:space="preserve">Form B1-1</w:t>
        </w:r>
      </w:hyperlink>
      <w:r>
        <w:t xml:space="preserve">).</w:t>
      </w:r>
    </w:p>
    <w:p>
      <w:pPr>
        <w:pStyle w:val="BodyText"/>
        <w:spacing w:after="160" w:line="259" w:lineRule="auto"/>
      </w:pPr>
      <w:r>
        <w:rPr>
          <w:bCs/>
          <w:b/>
        </w:rPr>
        <w:t xml:space="preserve">Deadlines.</w:t>
      </w:r>
      <w:r>
        <w:t xml:space="preserve"> </w:t>
      </w:r>
      <w:r>
        <w:t xml:space="preserve">Response within 20 working days (Freedom of Information Act 2000 s. 10).</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[Date]</w:t>
      </w:r>
    </w:p>
    <w:p>
      <w:pPr>
        <w:pStyle w:val="BodyText"/>
      </w:pPr>
      <w:r>
        <w:t xml:space="preserve">By email to: [MoD FOI address; confirm on the Ministry of Defence’s</w:t>
      </w:r>
      <w:r>
        <w:t xml:space="preserve"> </w:t>
      </w:r>
      <w:r>
        <w:t xml:space="preserve">“</w:t>
      </w:r>
      <w:r>
        <w:t xml:space="preserve">Freedom of Information requests</w:t>
      </w:r>
      <w:r>
        <w:t xml:space="preserve">”</w:t>
      </w:r>
      <w:r>
        <w:br/>
      </w:r>
      <w:r>
        <w:t xml:space="preserve">page before sending]</w:t>
      </w:r>
    </w:p>
    <w:p>
      <w:pPr>
        <w:pStyle w:val="BodyText"/>
      </w:pPr>
      <w:r>
        <w:t xml:space="preserve">Ministry of Defence</w:t>
      </w:r>
      <w:r>
        <w:br/>
      </w:r>
      <w:r>
        <w:t xml:space="preserve">[Freedom of Information Team / Information Rights]</w:t>
      </w:r>
      <w:r>
        <w:br/>
      </w:r>
      <w:r>
        <w:t xml:space="preserve">[Address]</w:t>
      </w:r>
    </w:p>
    <w:p>
      <w:pPr>
        <w:pStyle w:val="BodyText"/>
      </w:pPr>
      <w:r>
        <w:rPr>
          <w:bCs/>
          <w:b/>
        </w:rPr>
        <w:t xml:space="preserve">Freedom of Information Act 2000 request: records concerning unidentified aerial or anomalous</w:t>
      </w:r>
      <w:r>
        <w:br/>
      </w:r>
      <w:r>
        <w:rPr>
          <w:bCs/>
          <w:b/>
        </w:rPr>
        <w:t xml:space="preserve">phenomena involving United States forces or shared with the United States</w:t>
      </w:r>
    </w:p>
    <w:p>
      <w:pPr>
        <w:pStyle w:val="BodyText"/>
      </w:pPr>
      <w:r>
        <w:t xml:space="preserve">Dear Sir or Madam,</w:t>
      </w:r>
    </w:p>
    <w:p>
      <w:pPr>
        <w:pStyle w:val="BodyText"/>
      </w:pPr>
      <w:r>
        <w:t xml:space="preserve">I request the following information under section 1 of the Freedom of Information Act 2000, for the</w:t>
      </w:r>
      <w:r>
        <w:t xml:space="preserve"> </w:t>
      </w:r>
      <w:r>
        <w:t xml:space="preserve">period [1 January 2010] to the date of this request:</w:t>
      </w:r>
    </w:p>
    <w:p>
      <w:pPr>
        <w:numPr>
          <w:ilvl w:val="0"/>
          <w:numId w:val="1001"/>
        </w:numPr>
      </w:pPr>
      <w:r>
        <w:t xml:space="preserve">Any report, signal, log, assessment, or briefing concerning unidentified aerial phenomena,</w:t>
      </w:r>
      <w:r>
        <w:t xml:space="preserve"> </w:t>
      </w:r>
      <w:r>
        <w:t xml:space="preserve">unidentified anomalous phenomena, or unidentified flying objects observed at or near [RAF Lakenheath /</w:t>
      </w:r>
      <w:r>
        <w:t xml:space="preserve"> </w:t>
      </w:r>
      <w:r>
        <w:t xml:space="preserve">RAF Mildenhall / RAF Fairford / RAF Croughton / other station], including any report received from</w:t>
      </w:r>
      <w:r>
        <w:t xml:space="preserve"> </w:t>
      </w:r>
      <w:r>
        <w:t xml:space="preserve">United States visiting forces at those stations.</w:t>
      </w:r>
    </w:p>
    <w:p>
      <w:pPr>
        <w:numPr>
          <w:ilvl w:val="0"/>
          <w:numId w:val="1001"/>
        </w:numPr>
      </w:pPr>
      <w:r>
        <w:t xml:space="preserve">Any memorandum of understanding, agreement, arrangement, or guidance under which the Ministry of</w:t>
      </w:r>
      <w:r>
        <w:t xml:space="preserve"> </w:t>
      </w:r>
      <w:r>
        <w:t xml:space="preserve">Defence or the Royal Air Force shares information about such phenomena with the United States</w:t>
      </w:r>
      <w:r>
        <w:t xml:space="preserve"> </w:t>
      </w:r>
      <w:r>
        <w:t xml:space="preserve">Department of War (formerly Department of Defense) or its All-domain Anomaly Resolution Office, or</w:t>
      </w:r>
      <w:r>
        <w:t xml:space="preserve"> </w:t>
      </w:r>
      <w:r>
        <w:t xml:space="preserve">receives such information from them. I ask for the text of any such instrument; if it is withheld, I</w:t>
      </w:r>
      <w:r>
        <w:t xml:space="preserve"> </w:t>
      </w:r>
      <w:r>
        <w:t xml:space="preserve">ask you to confirm whether it exists.</w:t>
      </w:r>
    </w:p>
    <w:p>
      <w:pPr>
        <w:numPr>
          <w:ilvl w:val="0"/>
          <w:numId w:val="1001"/>
        </w:numPr>
      </w:pPr>
      <w:r>
        <w:t xml:space="preserve">Any record of correspondence between the Ministry of Defence and the All-domain Anomaly Resolution</w:t>
      </w:r>
      <w:r>
        <w:t xml:space="preserve"> </w:t>
      </w:r>
      <w:r>
        <w:t xml:space="preserve">Office concerning the handling of reports of such phenomena by U.K. personnel.</w:t>
      </w:r>
    </w:p>
    <w:p>
      <w:pPr>
        <w:numPr>
          <w:ilvl w:val="0"/>
          <w:numId w:val="1001"/>
        </w:numPr>
      </w:pPr>
      <w:r>
        <w:t xml:space="preserve">Any record created after November 2009 that sets out the Ministry of Defence’s policy for receiving,</w:t>
      </w:r>
      <w:r>
        <w:t xml:space="preserve"> </w:t>
      </w:r>
      <w:r>
        <w:t xml:space="preserve">recording, or investigating reports of such phenomena from the public or from service personnel.</w:t>
      </w:r>
    </w:p>
    <w:p>
      <w:pPr>
        <w:pStyle w:val="FirstParagraph"/>
      </w:pPr>
      <w:r>
        <w:rPr>
          <w:bCs/>
          <w:b/>
        </w:rPr>
        <w:t xml:space="preserve">Records already released.</w:t>
      </w:r>
      <w:r>
        <w:t xml:space="preserve"> </w:t>
      </w:r>
      <w:r>
        <w:t xml:space="preserve">I am not requesting the Ministry of Defence UFO files previously</w:t>
      </w:r>
      <w:r>
        <w:t xml:space="preserve"> </w:t>
      </w:r>
      <w:r>
        <w:t xml:space="preserve">transferred to The National Archives (series DEFE 24, DEFE 31, AIR 2, and related series), except to</w:t>
      </w:r>
      <w:r>
        <w:t xml:space="preserve"> </w:t>
      </w:r>
      <w:r>
        <w:t xml:space="preserve">the extent that any record listed above was withheld from those releases.</w:t>
      </w:r>
    </w:p>
    <w:p>
      <w:pPr>
        <w:pStyle w:val="BodyText"/>
      </w:pPr>
      <w:r>
        <w:rPr>
          <w:bCs/>
          <w:b/>
        </w:rPr>
        <w:t xml:space="preserve">Cost limit.</w:t>
      </w:r>
      <w:r>
        <w:t xml:space="preserve"> </w:t>
      </w:r>
      <w:r>
        <w:t xml:space="preserve">If complying with the whole request would exceed the appropriate limit under section 12,</w:t>
      </w:r>
      <w:r>
        <w:t xml:space="preserve"> </w:t>
      </w:r>
      <w:r>
        <w:t xml:space="preserve">please tell me which parts can be answered within the limit and advise me how to narrow the remainder,</w:t>
      </w:r>
      <w:r>
        <w:t xml:space="preserve"> </w:t>
      </w:r>
      <w:r>
        <w:t xml:space="preserve">as section 16 requires. I would prioritise items [2 and 4].</w:t>
      </w:r>
    </w:p>
    <w:p>
      <w:pPr>
        <w:pStyle w:val="BodyText"/>
      </w:pPr>
      <w:r>
        <w:rPr>
          <w:bCs/>
          <w:b/>
        </w:rPr>
        <w:t xml:space="preserve">Exemptions.</w:t>
      </w:r>
      <w:r>
        <w:t xml:space="preserve"> </w:t>
      </w:r>
      <w:r>
        <w:t xml:space="preserve">If you rely on any exemption, please identify it by section, explain why it applies to</w:t>
      </w:r>
      <w:r>
        <w:t xml:space="preserve"> </w:t>
      </w:r>
      <w:r>
        <w:t xml:space="preserve">each category of information, and, for qualified exemptions, explain how the public interest test was</w:t>
      </w:r>
      <w:r>
        <w:t xml:space="preserve"> </w:t>
      </w:r>
      <w:r>
        <w:t xml:space="preserve">applied. Where you neither confirm nor deny that information is held, please state the provision</w:t>
      </w:r>
      <w:r>
        <w:t xml:space="preserve"> </w:t>
      </w:r>
      <w:r>
        <w:t xml:space="preserve">relied on. Please disclose any part of a record that is not exempt.</w:t>
      </w:r>
    </w:p>
    <w:p>
      <w:pPr>
        <w:pStyle w:val="BodyText"/>
      </w:pPr>
      <w:r>
        <w:rPr>
          <w:bCs/>
          <w:b/>
        </w:rPr>
        <w:t xml:space="preserve">Format.</w:t>
      </w:r>
      <w:r>
        <w:t xml:space="preserve"> </w:t>
      </w:r>
      <w:r>
        <w:t xml:space="preserve">I would like the information in electronic form by email.</w:t>
      </w:r>
    </w:p>
    <w:p>
      <w:pPr>
        <w:pStyle w:val="BodyText"/>
      </w:pPr>
      <w:r>
        <w:t xml:space="preserve">Yours faithfully,</w:t>
      </w:r>
    </w:p>
    <w:p>
      <w:pPr>
        <w:pStyle w:val="BodyText"/>
      </w:pPr>
      <w:r>
        <w:t xml:space="preserve">[Name]</w:t>
      </w:r>
      <w:r>
        <w:br/>
      </w:r>
      <w:r>
        <w:t xml:space="preserve">[Address for correspondence, email]</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2" w:name="drafting-notes"/>
    <w:p>
      <w:pPr>
        <w:pStyle w:val="Heading2"/>
      </w:pPr>
      <w:r>
        <w:t xml:space="preserve">Drafting notes</w:t>
      </w:r>
    </w:p>
    <w:p>
      <w:pPr>
        <w:pStyle w:val="Compact"/>
        <w:numPr>
          <w:ilvl w:val="0"/>
          <w:numId w:val="1002"/>
        </w:numPr>
      </w:pPr>
      <w:r>
        <w:rPr>
          <w:bCs/>
          <w:b/>
        </w:rPr>
        <w:t xml:space="preserve">Timing and review.</w:t>
      </w:r>
      <w:r>
        <w:t xml:space="preserve"> </w:t>
      </w:r>
      <w:r>
        <w:t xml:space="preserve">If the response is late or refuses information, ask for an internal review</w:t>
      </w:r>
      <w:r>
        <w:t xml:space="preserve"> </w:t>
      </w:r>
      <w:r>
        <w:t xml:space="preserve">(expected within 20 working days, extendable to 40 in complex cases under the s. 45 Code of</w:t>
      </w:r>
      <w:r>
        <w:t xml:space="preserve"> </w:t>
      </w:r>
      <w:r>
        <w:t xml:space="preserve">Practice), then complain to the Information Commissioner under s. 50. Appeals from the Commissioner go</w:t>
      </w:r>
      <w:r>
        <w:t xml:space="preserve"> </w:t>
      </w:r>
      <w:r>
        <w:t xml:space="preserve">to the First-tier Tribunal (Information Rights).</w:t>
      </w:r>
    </w:p>
    <w:p>
      <w:pPr>
        <w:pStyle w:val="Compact"/>
        <w:numPr>
          <w:ilvl w:val="0"/>
          <w:numId w:val="1002"/>
        </w:numPr>
      </w:pPr>
      <w:r>
        <w:rPr>
          <w:bCs/>
          <w:b/>
        </w:rPr>
        <w:t xml:space="preserve">Section 23 is absolute.</w:t>
      </w:r>
      <w:r>
        <w:t xml:space="preserve"> </w:t>
      </w:r>
      <w:r>
        <w:t xml:space="preserve">Information supplied by or relating to the bodies listed in s. 23(3)</w:t>
      </w:r>
      <w:r>
        <w:t xml:space="preserve"> </w:t>
      </w:r>
      <w:r>
        <w:t xml:space="preserve">is exempt without a public interest test. The list includes the Security Service, the Secret</w:t>
      </w:r>
      <w:r>
        <w:t xml:space="preserve"> </w:t>
      </w:r>
      <w:r>
        <w:t xml:space="preserve">Intelligence Service, GCHQ, and the special forces.</w:t>
      </w:r>
    </w:p>
    <w:p>
      <w:pPr>
        <w:pStyle w:val="Compact"/>
        <w:numPr>
          <w:ilvl w:val="0"/>
          <w:numId w:val="1002"/>
        </w:numPr>
      </w:pPr>
      <w:r>
        <w:rPr>
          <w:bCs/>
          <w:b/>
        </w:rPr>
        <w:t xml:space="preserve">Section 27(2)-(3).</w:t>
      </w:r>
      <w:r>
        <w:t xml:space="preserve"> </w:t>
      </w:r>
      <w:r>
        <w:t xml:space="preserve">“</w:t>
      </w:r>
      <w:r>
        <w:t xml:space="preserve">[C]onfidential information obtained from a State other than the United</w:t>
      </w:r>
      <w:r>
        <w:t xml:space="preserve"> </w:t>
      </w:r>
      <w:r>
        <w:t xml:space="preserve">Kingdom</w:t>
      </w:r>
      <w:r>
        <w:t xml:space="preserve">”</w:t>
      </w:r>
      <w:r>
        <w:t xml:space="preserve"> </w:t>
      </w:r>
      <w:r>
        <w:t xml:space="preserve">is exempt, and information is confidential while the terms or circumstances of its receipt</w:t>
      </w:r>
      <w:r>
        <w:t xml:space="preserve"> </w:t>
      </w:r>
      <w:r>
        <w:t xml:space="preserve">require, or make it reasonable to expect, that it be held in confidence. The exemption is qualified,</w:t>
      </w:r>
      <w:r>
        <w:t xml:space="preserve"> </w:t>
      </w:r>
      <w:r>
        <w:t xml:space="preserve">so the public interest test still applies.</w:t>
      </w:r>
    </w:p>
    <w:p>
      <w:pPr>
        <w:pStyle w:val="Compact"/>
        <w:numPr>
          <w:ilvl w:val="0"/>
          <w:numId w:val="1002"/>
        </w:numPr>
      </w:pPr>
      <w:r>
        <w:rPr>
          <w:bCs/>
          <w:b/>
        </w:rPr>
        <w:t xml:space="preserve">Station names.</w:t>
      </w:r>
      <w:r>
        <w:t xml:space="preserve"> </w:t>
      </w:r>
      <w:r>
        <w:t xml:space="preserve">RAF Lakenheath, Mildenhall, and Fairford host U.S. Air Force units. Choose</w:t>
      </w:r>
      <w:r>
        <w:t xml:space="preserve"> </w:t>
      </w:r>
      <w:r>
        <w:t xml:space="preserve">stations tied to a specific reported event, and give dates where possible; a focused request is</w:t>
      </w:r>
      <w:r>
        <w:t xml:space="preserve"> </w:t>
      </w:r>
      <w:r>
        <w:t xml:space="preserve">harder to refuse on cost grounds.</w:t>
      </w:r>
    </w:p>
    <w:p>
      <w:pPr>
        <w:pStyle w:val="Compact"/>
        <w:numPr>
          <w:ilvl w:val="0"/>
          <w:numId w:val="1002"/>
        </w:numPr>
      </w:pPr>
      <w:r>
        <w:rPr>
          <w:bCs/>
          <w:b/>
        </w:rPr>
        <w:t xml:space="preserve">Other countries.</w:t>
      </w:r>
      <w:r>
        <w:t xml:space="preserve"> </w:t>
      </w:r>
      <w:r>
        <w:t xml:space="preserve">France’s GEIPAN publishes its case files online; Brazil’s Air Force records are</w:t>
      </w:r>
      <w:r>
        <w:t xml:space="preserve"> </w:t>
      </w:r>
      <w:r>
        <w:t xml:space="preserve">at the Arquivo Nacional; Canada’s federal Access to Information Act allows requests by any person</w:t>
      </w:r>
      <w:r>
        <w:t xml:space="preserve"> </w:t>
      </w:r>
      <w:r>
        <w:t xml:space="preserve">present in Canada or any Canadian citizen or resident (check current eligibility). See</w:t>
      </w:r>
      <w:r>
        <w:t xml:space="preserve"> </w:t>
      </w:r>
      <w:hyperlink r:id="rId20">
        <w:r>
          <w:rPr>
            <w:rStyle w:val="Hyperlink"/>
          </w:rPr>
          <w:t xml:space="preserve">Issue F6</w:t>
        </w:r>
      </w:hyperlink>
      <w:r>
        <w:t xml:space="preserve">.</w:t>
      </w:r>
    </w:p>
    <w:p>
      <w:pPr>
        <w:pStyle w:val="Compact"/>
        <w:numPr>
          <w:ilvl w:val="0"/>
          <w:numId w:val="1002"/>
        </w:numPr>
      </w:pPr>
      <w:r>
        <w:t xml:space="preserve">The request relies on sections 1, 8, 10, 23, and 27 of the Freedom of Information Act 2000. The MoD accepts</w:t>
      </w:r>
      <w:r>
        <w:t xml:space="preserve"> </w:t>
      </w:r>
      <w:r>
        <w:t xml:space="preserve">requests through its online FOI form and by email; use the address on the MoD’s current FOI page.</w:t>
      </w:r>
    </w:p>
    <w:p>
      <w:pPr>
        <w:pStyle w:val="Compact"/>
        <w:numPr>
          <w:ilvl w:val="0"/>
          <w:numId w:val="1002"/>
        </w:numPr>
      </w:pPr>
      <w:r>
        <w:t xml:space="preserve">Related:</w:t>
      </w:r>
      <w:r>
        <w:t xml:space="preserve"> </w:t>
      </w:r>
      <w:hyperlink r:id="rId20">
        <w:r>
          <w:rPr>
            <w:rStyle w:val="Hyperlink"/>
          </w:rPr>
          <w:t xml:space="preserve">Issue F6</w:t>
        </w:r>
      </w:hyperlink>
      <w:r>
        <w:t xml:space="preserve">, B1; Forms B1-1, A4-3.</w:t>
      </w:r>
    </w:p>
    <w:bookmarkEnd w:id="22"/>
    <w:bookmarkEnd w:id="23"/>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forms/b1-1.html" TargetMode="External"/><Relationship Id="rId20" Type="http://schemas.openxmlformats.org/officeDocument/2006/relationships/hyperlink" Target="https://nhilaw.com/issues/f6.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forms/b1-1.html" TargetMode="External"/><Relationship Id="rId20" Type="http://schemas.openxmlformats.org/officeDocument/2006/relationships/hyperlink" Target="https://nhilaw.com/issues/f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F6-1. United Kingdom Freedom of Information Act 2000 Request to the Ministry of Defence for UAP Records Involving U.S. Forces or Shared Data</dc:title>
  <dc:creator>nhilaw.com</dc:creator>
  <cp:keywords/>
  <dcterms:created xsi:type="dcterms:W3CDTF">2026-10-19T03:15:25Z</dcterms:created>
  <dcterms:modified xsi:type="dcterms:W3CDTF">2026-10-19T03:15:25Z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