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uppressLineNumbers/>
      </w:pPr>
      <w:r>
        <w:rPr>
          <w:smallCaps/>
          <w:color w:val="1F6E6E"/>
          <w:sz w:val="18"/>
        </w:rPr>
        <w:t xml:space="preserve">nhilaw.com sample document</w:t>
      </w:r>
    </w:p>
    <w:bookmarkStart w:id="27" w:name="X306fd00e485d99092576799ea43305c050cd17a"/>
    <w:p>
      <w:pPr>
        <w:pStyle w:val="Heading1"/>
        <w:suppressLineNumbers/>
      </w:pPr>
      <w:r>
        <w:t xml:space="preserve">Form F7-1. Model Federal Statute: Peaceful Contact Zones Act</w:t>
      </w:r>
    </w:p>
    <w:p>
      <w:pPr>
        <w:pStyle w:val="FirstParagraph"/>
        <w:suppressLineNumbers/>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https://nhilaw.com/forms/f7-1.html</w:t>
      </w:r>
    </w:p>
    <w:p>
      <w:pPr>
        <w:pStyle w:val="BodyText"/>
        <w:suppressLineNumbers/>
        <w:spacing w:after="160" w:line="259" w:lineRule="auto"/>
      </w:pPr>
      <w:r>
        <w:rPr>
          <w:bCs/>
          <w:b/>
        </w:rPr>
        <w:t xml:space="preserve">Use.</w:t>
      </w:r>
      <w:r>
        <w:t xml:space="preserve"> </w:t>
      </w:r>
      <w:r>
        <w:t xml:space="preserve">Only Congress can bind the armed forces, the intelligence agencies, and their contractors to leave craft</w:t>
      </w:r>
      <w:r>
        <w:t xml:space="preserve"> </w:t>
      </w:r>
      <w:r>
        <w:t xml:space="preserve">and their occupants unharmed at a designated meeting place. This model statute authorizes the certification of</w:t>
      </w:r>
      <w:r>
        <w:t xml:space="preserve"> </w:t>
      </w:r>
      <w:r>
        <w:t xml:space="preserve">peaceful contact zones on private or public land, forbids force against craft in or approaching a zone except to</w:t>
      </w:r>
      <w:r>
        <w:t xml:space="preserve"> </w:t>
      </w:r>
      <w:r>
        <w:t xml:space="preserve">prevent imminent harm to persons, forbids the seizure and detention of occupants, withdraws zones from 10 U.S.C.</w:t>
      </w:r>
      <w:r>
        <w:t xml:space="preserve"> </w:t>
      </w:r>
      <w:r>
        <w:t xml:space="preserve">§130i, and provides monitoring and remedies. It can stand alone or be added to the interim protection statute (Form</w:t>
      </w:r>
      <w:r>
        <w:t xml:space="preserve"> </w:t>
      </w:r>
      <w:r>
        <w:t xml:space="preserve">F2-1) or to a UAP disclosure bill (</w:t>
      </w:r>
      <w:hyperlink r:id="rId20">
        <w:r>
          <w:rPr>
            <w:rStyle w:val="Hyperlink"/>
          </w:rPr>
          <w:t xml:space="preserve">Issue A3</w:t>
        </w:r>
      </w:hyperlink>
      <w:r>
        <w:t xml:space="preserve">).</w:t>
      </w:r>
    </w:p>
    <w:p>
      <w:pPr>
        <w:pStyle w:val="BodyText"/>
        <w:suppressLineNumbers/>
        <w:spacing w:after="160" w:line="259" w:lineRule="auto"/>
      </w:pPr>
      <w:r>
        <w:rPr>
          <w:bCs/>
          <w:b/>
        </w:rPr>
        <w:t xml:space="preserve">When to use.</w:t>
      </w:r>
      <w:r>
        <w:t xml:space="preserve"> </w:t>
      </w:r>
      <w:r>
        <w:t xml:space="preserve">Legislators, committee staff, and advocates drafting federal protection for contact sites.</w:t>
      </w:r>
      <w:r>
        <w:t xml:space="preserve"> </w:t>
      </w:r>
      <w:r>
        <w:rPr>
          <w:bCs/>
          <w:b/>
        </w:rPr>
        <w:t xml:space="preserve">Not</w:t>
      </w:r>
      <w:r>
        <w:rPr>
          <w:bCs/>
          <w:b/>
        </w:rPr>
        <w:t xml:space="preserve"> </w:t>
      </w:r>
      <w:r>
        <w:rPr>
          <w:bCs/>
          <w:b/>
        </w:rPr>
        <w:t xml:space="preserve">for:</w:t>
      </w:r>
      <w:r>
        <w:t xml:space="preserve"> </w:t>
      </w:r>
      <w:r>
        <w:t xml:space="preserve">State legislation (</w:t>
      </w:r>
      <w:hyperlink r:id="rId21">
        <w:r>
          <w:rPr>
            <w:rStyle w:val="Hyperlink"/>
          </w:rPr>
          <w:t xml:space="preserve">Form F7-2</w:t>
        </w:r>
      </w:hyperlink>
      <w:r>
        <w:t xml:space="preserve">) or a private host’s own rules (</w:t>
      </w:r>
      <w:hyperlink r:id="rId22">
        <w:r>
          <w:rPr>
            <w:rStyle w:val="Hyperlink"/>
          </w:rPr>
          <w:t xml:space="preserve">Form F7-3</w:t>
        </w:r>
      </w:hyperlink>
      <w:r>
        <w:t xml:space="preserve">).</w:t>
      </w:r>
    </w:p>
    <w:p>
      <w:pPr>
        <w:pStyle w:val="BodyText"/>
        <w:suppressLineNumbers/>
        <w:spacing w:after="160" w:line="259" w:lineRule="auto"/>
      </w:pPr>
      <w:r>
        <w:rPr>
          <w:bCs/>
          <w:b/>
        </w:rPr>
        <w:t xml:space="preserve">Deadlines.</w:t>
      </w:r>
      <w:r>
        <w:t xml:space="preserve"> </w:t>
      </w:r>
      <w:r>
        <w:t xml:space="preserve">None.</w:t>
      </w:r>
    </w:p>
    <w:p>
      <w:pPr>
        <w:pStyle w:val="BodyText"/>
        <w:suppressLineNumbers/>
        <w:spacing w:lineRule="exact" w:line="40" w:before="0" w:after="0"/>
        <w:sectPr>
          <w:headerReference w:type="default" r:id="rId9"/>
          <w:footerReference w:type="default" r:id="rId10"/>
          <w:pgSz w:h="15840" w:w="12240"/>
          <w:pgMar w:bottom="1440" w:left="1440" w:right="1440" w:top="1440" w:header="720" w:footer="576"/>
        </w:sectPr>
      </w:pPr>
    </w:p>
    <w:tbl>
      <w:tblPr>
        <w:tblW w:type="auto" w:w="0"/>
        <w:tblLook w:firstColumn="1" w:firstRow="1" w:lastColumn="0" w:lastRow="0" w:noHBand="0" w:noVBand="1" w:val="04A0"/>
      </w:tblPr>
      <w:tblGrid>
        <w:gridCol w:w="4680"/>
        <w:gridCol w:w="4680"/>
      </w:tblGrid>
      <w:tr>
        <w:tc>
          <w:tcPr>
            <w:tcW w:type="dxa" w:w="4608"/>
          </w:tcPr>
          <w:p>
            <w:r>
              <w:rPr>
                <w:rFonts w:ascii="Century Schoolbook" w:hAnsi="Century Schoolbook" w:cs="Century Schoolbook" w:eastAsia="Century Schoolbook"/>
                <w:smallCaps/>
                <w:sz w:val="24"/>
              </w:rPr>
              <w:t>[___]TH CONGRESS</w:t>
            </w:r>
          </w:p>
          <w:p>
            <w:r>
              <w:rPr>
                <w:rFonts w:ascii="Century Schoolbook" w:hAnsi="Century Schoolbook" w:cs="Century Schoolbook" w:eastAsia="Century Schoolbook"/>
                <w:smallCaps/>
                <w:sz w:val="24"/>
              </w:rPr>
              <w:t>[___] SESSION</w:t>
            </w:r>
          </w:p>
        </w:tc>
        <w:tc>
          <w:tcPr>
            <w:tcW w:type="dxa" w:w="4752"/>
          </w:tcPr>
          <w:p>
            <w:pPr>
              <w:jc w:val="right"/>
            </w:pPr>
            <w:r>
              <w:rPr>
                <w:rFonts w:ascii="Century Schoolbook" w:hAnsi="Century Schoolbook" w:cs="Century Schoolbook" w:eastAsia="Century Schoolbook"/>
                <w:b/>
                <w:sz w:val="52"/>
              </w:rPr>
              <w:t>H. R. [____]</w:t>
            </w:r>
          </w:p>
        </w:tc>
      </w:tr>
    </w:tbl>
    <w:p>
      <w:pPr>
        <w:suppressLineNumbers/>
      </w:pPr>
    </w:p>
    <w:p>
      <w:pPr>
        <w:suppressLineNumbers/>
        <w:pBdr>
          <w:bottom w:val="single" w:sz="8" w:space="6" w:color="000000"/>
        </w:pBdr>
        <w:spacing w:before="200" w:after="200"/>
        <w:jc w:val="center"/>
      </w:pPr>
      <w:r>
        <w:rPr>
          <w:rFonts w:ascii="Century Schoolbook" w:hAnsi="Century Schoolbook" w:cs="Century Schoolbook" w:eastAsia="Century Schoolbook"/>
          <w:b w:val="0"/>
          <w:i w:val="0"/>
          <w:smallCaps w:val="0"/>
          <w:sz w:val="22"/>
        </w:rPr>
        <w:t>To provide for the designation and protection of peaceful contact zones, and for other purposes.</w:t>
      </w:r>
    </w:p>
    <w:p>
      <w:pPr>
        <w:suppressLineNumbers/>
        <w:spacing w:before="280" w:after="160"/>
        <w:jc w:val="center"/>
      </w:pPr>
      <w:r>
        <w:rPr>
          <w:rFonts w:ascii="Century Schoolbook" w:hAnsi="Century Schoolbook" w:cs="Century Schoolbook" w:eastAsia="Century Schoolbook"/>
          <w:b w:val="0"/>
          <w:i w:val="0"/>
          <w:smallCaps w:val="0"/>
          <w:sz w:val="24"/>
        </w:rPr>
        <w:t>IN THE HOUSE OF REPRESENTATIVES</w:t>
      </w:r>
    </w:p>
    <w:p>
      <w:pPr>
        <w:suppressLineNumbers/>
        <w:spacing w:before="0" w:after="160"/>
        <w:jc w:val="center"/>
      </w:pPr>
      <w:r>
        <w:rPr>
          <w:rFonts w:ascii="Century Schoolbook" w:hAnsi="Century Schoolbook" w:cs="Century Schoolbook" w:eastAsia="Century Schoolbook"/>
          <w:b w:val="0"/>
          <w:i w:val="0"/>
          <w:smallCaps w:val="0"/>
          <w:sz w:val="22"/>
        </w:rPr>
        <w:t>[MONTH DAY], [YEAR]</w:t>
      </w:r>
    </w:p>
    <w:p>
      <w:pPr>
        <w:suppressLineNumbers/>
        <w:pBdr>
          <w:bottom w:val="single" w:sz="8" w:space="6" w:color="000000"/>
        </w:pBdr>
        <w:spacing w:before="0" w:after="200"/>
        <w:ind w:left="720"/>
      </w:pPr>
      <w:r>
        <w:rPr>
          <w:rFonts w:ascii="Century Schoolbook" w:hAnsi="Century Schoolbook" w:cs="Century Schoolbook" w:eastAsia="Century Schoolbook"/>
          <w:smallCaps/>
          <w:sz w:val="22"/>
        </w:rPr>
        <w:t>[Mr./Ms. ________]</w:t>
      </w:r>
      <w:r>
        <w:rPr>
          <w:rFonts w:ascii="Century Schoolbook" w:hAnsi="Century Schoolbook" w:cs="Century Schoolbook" w:eastAsia="Century Schoolbook"/>
          <w:sz w:val="22"/>
        </w:rPr>
        <w:t xml:space="preserve"> (for [himself/herself and ________]) introduced the following bill; which was referred to the Committee on [________]</w:t>
      </w:r>
    </w:p>
    <w:p>
      <w:pPr>
        <w:suppressLineNumbers/>
        <w:spacing w:before="440" w:after="200"/>
        <w:jc w:val="center"/>
      </w:pPr>
      <w:r>
        <w:rPr>
          <w:rFonts w:ascii="Century Schoolbook" w:hAnsi="Century Schoolbook" w:cs="Century Schoolbook" w:eastAsia="Century Schoolbook"/>
          <w:b/>
          <w:i w:val="0"/>
          <w:smallCaps w:val="0"/>
          <w:sz w:val="52"/>
        </w:rPr>
        <w:t>A BILL</w:t>
      </w:r>
    </w:p>
    <w:p>
      <w:pPr>
        <w:suppressLineNumbers/>
        <w:pBdr>
          <w:bottom w:val="single" w:sz="8" w:space="6" w:color="000000"/>
        </w:pBdr>
        <w:spacing w:before="0" w:after="240"/>
        <w:ind w:left="1152" w:right="1152"/>
        <w:jc w:val="center"/>
      </w:pPr>
      <w:r>
        <w:rPr>
          <w:rFonts w:ascii="Century Schoolbook" w:hAnsi="Century Schoolbook" w:cs="Century Schoolbook" w:eastAsia="Century Schoolbook"/>
          <w:b w:val="0"/>
          <w:i w:val="0"/>
          <w:smallCaps w:val="0"/>
          <w:sz w:val="24"/>
        </w:rPr>
        <w:t>To provide for the designation and protection of peaceful contact zones, and for other purposes.</w:t>
      </w:r>
    </w:p>
    <w:p>
      <w:pPr>
        <w:suppressLineNumbers/>
        <w:spacing w:before="0" w:after="0"/>
      </w:pPr>
      <w:r>
        <w:br w:type="page"/>
      </w:r>
    </w:p>
    <w:p>
      <w:pPr>
        <w:spacing w:lineRule="exact" w:line="480" w:before="0" w:after="0"/>
        <w:ind w:firstLine="720"/>
      </w:pPr>
      <w:r>
        <w:rPr>
          <w:rFonts w:ascii="Century Schoolbook" w:hAnsi="Century Schoolbook" w:cs="Century Schoolbook" w:eastAsia="Century Schoolbook"/>
          <w:b w:val="0"/>
          <w:i w:val="0"/>
          <w:sz w:val="24"/>
        </w:rPr>
        <w:t>Be it enacted by the Senate and House of Representatives of the United States of America in Congress assembled,</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SHORT TITLE.</w:t>
      </w:r>
    </w:p>
    <w:p>
      <w:pPr>
        <w:spacing w:lineRule="exact" w:line="480" w:before="0" w:after="0"/>
        <w:ind w:firstLine="720"/>
        <w:jc w:val="both"/>
      </w:pPr>
      <w:r/>
      <w:r>
        <w:t xml:space="preserve">This Act may be cited as the</w:t>
      </w:r>
      <w:r>
        <w:t xml:space="preserve"> </w:t>
      </w:r>
      <w:r>
        <w:t xml:space="preserve">“</w:t>
      </w:r>
      <w:r>
        <w:t xml:space="preserve">Peaceful Contact Zones Act.</w:t>
      </w:r>
      <w:r>
        <w:t xml:space="preserv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FINDINGS.</w:t>
      </w:r>
    </w:p>
    <w:p>
      <w:pPr>
        <w:spacing w:lineRule="exact" w:line="480" w:before="0" w:after="0"/>
        <w:ind w:firstLine="720"/>
        <w:jc w:val="both"/>
      </w:pPr>
      <w:r/>
      <w:r>
        <w:t xml:space="preserve">Congress finds that—</w:t>
      </w:r>
    </w:p>
    <w:p>
      <w:pPr>
        <w:pStyle w:val="BodyText"/>
        <w:spacing w:lineRule="exact" w:line="480" w:before="0" w:after="0"/>
        <w:ind w:left="720" w:firstLine="720"/>
        <w:jc w:val="both"/>
      </w:pPr>
      <w:r>
        <w:t xml:space="preserve">(1) the Federal Government has defined non-human intelligence as any sentient intelligent non-human lifeform</w:t>
      </w:r>
      <w:r>
        <w:t xml:space="preserve"> </w:t>
      </w:r>
      <w:r>
        <w:t xml:space="preserve">regardless of nature or ultimate origin;</w:t>
      </w:r>
    </w:p>
    <w:p>
      <w:pPr>
        <w:pStyle w:val="BodyText"/>
        <w:spacing w:lineRule="exact" w:line="480" w:before="0" w:after="0"/>
        <w:ind w:left="720" w:firstLine="720"/>
        <w:jc w:val="both"/>
      </w:pPr>
      <w:r>
        <w:t xml:space="preserve">(2) witnesses have testified before committees of Congress that craft associated with non-human intelligence have</w:t>
      </w:r>
      <w:r>
        <w:t xml:space="preserve"> </w:t>
      </w:r>
      <w:r>
        <w:t xml:space="preserve">been brought down and their occupants taken into custody, without notice to Congress and without any legal process;</w:t>
      </w:r>
    </w:p>
    <w:p>
      <w:pPr>
        <w:pStyle w:val="BodyText"/>
        <w:spacing w:lineRule="exact" w:line="480" w:before="0" w:after="0"/>
        <w:ind w:left="720" w:firstLine="720"/>
        <w:jc w:val="both"/>
      </w:pPr>
      <w:r>
        <w:t xml:space="preserve">(3) peaceful communication between human beings and non-human intelligence serves the national interest in</w:t>
      </w:r>
      <w:r>
        <w:t xml:space="preserve"> </w:t>
      </w:r>
      <w:r>
        <w:t xml:space="preserve">knowledge, safety, and the avoidance of conflict; and</w:t>
      </w:r>
    </w:p>
    <w:p>
      <w:pPr>
        <w:pStyle w:val="BodyText"/>
        <w:spacing w:lineRule="exact" w:line="480" w:before="0" w:after="0"/>
        <w:ind w:left="720" w:firstLine="720"/>
        <w:jc w:val="both"/>
      </w:pPr>
      <w:r>
        <w:t xml:space="preserve">(4) the absence of any place where such communication is protected by law invites harm to persons, to craft, and</w:t>
      </w:r>
      <w:r>
        <w:t xml:space="preserve"> </w:t>
      </w:r>
      <w:r>
        <w:t xml:space="preserve">to the national interest.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DEFINITIONS.</w:t>
      </w:r>
    </w:p>
    <w:p>
      <w:pPr>
        <w:spacing w:lineRule="exact" w:line="480" w:before="0" w:after="0"/>
        <w:ind w:firstLine="720"/>
        <w:jc w:val="both"/>
      </w:pPr>
      <w:r/>
      <w:r>
        <w:t xml:space="preserve">In this Act—</w:t>
      </w:r>
    </w:p>
    <w:p>
      <w:pPr>
        <w:pStyle w:val="BodyText"/>
        <w:spacing w:lineRule="exact" w:line="480" w:before="0" w:after="0"/>
        <w:ind w:left="720" w:firstLine="720"/>
        <w:jc w:val="both"/>
      </w:pPr>
      <w:r>
        <w:t xml:space="preserve">(1)</w:t>
      </w:r>
      <w:r>
        <w:t xml:space="preserve"> </w:t>
      </w:r>
      <w:r>
        <w:t xml:space="preserve">“</w:t>
      </w:r>
      <w:r>
        <w:t xml:space="preserve">Non-human intelligence</w:t>
      </w:r>
      <w:r>
        <w:t xml:space="preserve">”</w:t>
      </w:r>
      <w:r>
        <w:t xml:space="preserve"> </w:t>
      </w:r>
      <w:r>
        <w:t xml:space="preserve">has the meaning given in section ___ [the Act’s general definitions, or:</w:t>
      </w:r>
      <w:r>
        <w:t xml:space="preserve"> </w:t>
      </w:r>
      <w:r>
        <w:t xml:space="preserve">“</w:t>
      </w:r>
      <w:r>
        <w:t xml:space="preserve">any</w:t>
      </w:r>
      <w:r>
        <w:t xml:space="preserve"> </w:t>
      </w:r>
      <w:r>
        <w:t xml:space="preserve">sentient intelligent non-human lifeform regardless of nature or ultimate origin</w:t>
      </w:r>
      <w:r>
        <w:t xml:space="preserve">”</w:t>
      </w:r>
      <w:r>
        <w:t xml:space="preserve">].</w:t>
      </w:r>
    </w:p>
    <w:p>
      <w:pPr>
        <w:pStyle w:val="BodyText"/>
        <w:spacing w:lineRule="exact" w:line="480" w:before="0" w:after="0"/>
        <w:ind w:left="720" w:firstLine="720"/>
        <w:jc w:val="both"/>
      </w:pPr>
      <w:r>
        <w:t xml:space="preserve">(2)</w:t>
      </w:r>
      <w:r>
        <w:t xml:space="preserve"> </w:t>
      </w:r>
      <w:r>
        <w:t xml:space="preserve">“</w:t>
      </w:r>
      <w:r>
        <w:t xml:space="preserve">Craft</w:t>
      </w:r>
      <w:r>
        <w:t xml:space="preserve">”</w:t>
      </w:r>
      <w:r>
        <w:t xml:space="preserve"> </w:t>
      </w:r>
      <w:r>
        <w:t xml:space="preserve">means any vehicle, object, or device that is operated or occupied by, or reasonably believed to be</w:t>
      </w:r>
      <w:r>
        <w:t xml:space="preserve"> </w:t>
      </w:r>
      <w:r>
        <w:t xml:space="preserve">associated with, a non-human intelligence.</w:t>
      </w:r>
    </w:p>
    <w:p>
      <w:pPr>
        <w:pStyle w:val="BodyText"/>
        <w:spacing w:lineRule="exact" w:line="480" w:before="0" w:after="0"/>
        <w:ind w:left="720" w:firstLine="720"/>
        <w:jc w:val="both"/>
      </w:pPr>
      <w:r>
        <w:t xml:space="preserve">(3)</w:t>
      </w:r>
      <w:r>
        <w:t xml:space="preserve"> </w:t>
      </w:r>
      <w:r>
        <w:t xml:space="preserve">“</w:t>
      </w:r>
      <w:r>
        <w:t xml:space="preserve">Covered person</w:t>
      </w:r>
      <w:r>
        <w:t xml:space="preserve">”</w:t>
      </w:r>
      <w:r>
        <w:t xml:space="preserve"> </w:t>
      </w:r>
      <w:r>
        <w:t xml:space="preserve">means any officer, employee, or member of the armed forces of the United States, any element of</w:t>
      </w:r>
      <w:r>
        <w:t xml:space="preserve"> </w:t>
      </w:r>
      <w:r>
        <w:t xml:space="preserve">the intelligence community, any contractor or subcontractor (at any tier) of the United States, and any person acting</w:t>
      </w:r>
      <w:r>
        <w:t xml:space="preserve"> </w:t>
      </w:r>
      <w:r>
        <w:t xml:space="preserve">under the direction or with the authorization of any of them.</w:t>
      </w:r>
    </w:p>
    <w:p>
      <w:pPr>
        <w:pStyle w:val="BodyText"/>
        <w:spacing w:lineRule="exact" w:line="480" w:before="0" w:after="0"/>
        <w:ind w:left="720" w:firstLine="720"/>
        <w:jc w:val="both"/>
      </w:pPr>
      <w:r>
        <w:t xml:space="preserve">(4)</w:t>
      </w:r>
      <w:r>
        <w:t xml:space="preserve"> </w:t>
      </w:r>
      <w:r>
        <w:t xml:space="preserve">“</w:t>
      </w:r>
      <w:r>
        <w:t xml:space="preserve">Zone</w:t>
      </w:r>
      <w:r>
        <w:t xml:space="preserve">”</w:t>
      </w:r>
      <w:r>
        <w:t xml:space="preserve"> </w:t>
      </w:r>
      <w:r>
        <w:t xml:space="preserve">means a peaceful contact zone certified under section ___.</w:t>
      </w:r>
    </w:p>
    <w:p>
      <w:pPr>
        <w:pStyle w:val="BodyText"/>
        <w:spacing w:lineRule="exact" w:line="480" w:before="0" w:after="0"/>
        <w:ind w:left="720" w:firstLine="720"/>
        <w:jc w:val="both"/>
      </w:pPr>
      <w:r>
        <w:t xml:space="preserve">(5)</w:t>
      </w:r>
      <w:r>
        <w:t xml:space="preserve"> </w:t>
      </w:r>
      <w:r>
        <w:t xml:space="preserve">“</w:t>
      </w:r>
      <w:r>
        <w:t xml:space="preserve">Approach corridor</w:t>
      </w:r>
      <w:r>
        <w:t xml:space="preserve">”</w:t>
      </w:r>
      <w:r>
        <w:t xml:space="preserve"> </w:t>
      </w:r>
      <w:r>
        <w:t xml:space="preserve">means the airspace above a zone and within [__] nautical miles of its boundary, up to</w:t>
      </w:r>
      <w:r>
        <w:t xml:space="preserve"> </w:t>
      </w:r>
      <w:r>
        <w:t xml:space="preserve">[altitude], or such other volume as the certification specifies.</w:t>
      </w:r>
    </w:p>
    <w:p>
      <w:pPr>
        <w:pStyle w:val="BodyText"/>
        <w:spacing w:lineRule="exact" w:line="480" w:before="0" w:after="0"/>
        <w:ind w:left="720" w:firstLine="720"/>
        <w:jc w:val="both"/>
      </w:pPr>
      <w:r>
        <w:t xml:space="preserve">(6)</w:t>
      </w:r>
      <w:r>
        <w:t xml:space="preserve"> </w:t>
      </w:r>
      <w:r>
        <w:t xml:space="preserve">“</w:t>
      </w:r>
      <w:r>
        <w:t xml:space="preserve">Host</w:t>
      </w:r>
      <w:r>
        <w:t xml:space="preserve">”</w:t>
      </w:r>
      <w:r>
        <w:t xml:space="preserve"> </w:t>
      </w:r>
      <w:r>
        <w:t xml:space="preserve">means the person or entity that holds the land of a zone and applies for its certification.</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CERTIFICATION OF PEACEFUL CONTACT ZONES.</w:t>
      </w:r>
    </w:p>
    <w:p>
      <w:pPr>
        <w:pStyle w:val="BodyText"/>
        <w:spacing w:lineRule="exact" w:line="480" w:before="0" w:after="0"/>
        <w:ind w:left="0" w:firstLine="720"/>
        <w:jc w:val="both"/>
      </w:pPr>
      <w:r>
        <w:t xml:space="preserve">(a) In general. The Administrator of the Federal Aviation Administration, in consultation with the Secretary of</w:t>
      </w:r>
      <w:r>
        <w:t xml:space="preserve"> </w:t>
      </w:r>
      <w:r>
        <w:t xml:space="preserve">Defense and the Independent Monitor, shall certify a zone on application of a host that demonstrates that—</w:t>
      </w:r>
    </w:p>
    <w:p>
      <w:pPr>
        <w:pStyle w:val="BodyText"/>
        <w:spacing w:lineRule="exact" w:line="480" w:before="0" w:after="0"/>
        <w:ind w:left="720" w:firstLine="720"/>
        <w:jc w:val="both"/>
      </w:pPr>
      <w:r>
        <w:t xml:space="preserve">(1) the host holds title to, or a lease of not less than [10] years of, the land within the zone;</w:t>
      </w:r>
    </w:p>
    <w:p>
      <w:pPr>
        <w:pStyle w:val="BodyText"/>
        <w:spacing w:lineRule="exact" w:line="480" w:before="0" w:after="0"/>
        <w:ind w:left="720" w:firstLine="720"/>
        <w:jc w:val="both"/>
      </w:pPr>
      <w:r>
        <w:t xml:space="preserve">(2) the zone and its approach corridor lie outside prohibited areas, restricted areas, and areas established under</w:t>
      </w:r>
      <w:r>
        <w:t xml:space="preserve"> </w:t>
      </w:r>
      <w:r>
        <w:t xml:space="preserve">section 40103(b)(3) of title 49, United States Code, and are not within [__] miles of any covered facility or asset</w:t>
      </w:r>
      <w:r>
        <w:t xml:space="preserve"> </w:t>
      </w:r>
      <w:r>
        <w:t xml:space="preserve">designated under section 130i of title 10, United States Code;</w:t>
      </w:r>
    </w:p>
    <w:p>
      <w:pPr>
        <w:pStyle w:val="BodyText"/>
        <w:spacing w:lineRule="exact" w:line="480" w:before="0" w:after="0"/>
        <w:ind w:left="720" w:firstLine="720"/>
        <w:jc w:val="both"/>
      </w:pPr>
      <w:r>
        <w:t xml:space="preserve">(3) the host has adopted and published a code of conduct that prohibits weapons, capture, the taking of samples or</w:t>
      </w:r>
      <w:r>
        <w:t xml:space="preserve"> </w:t>
      </w:r>
      <w:r>
        <w:t xml:space="preserve">data without consent, and any negotiation on behalf of the United States or any government;</w:t>
      </w:r>
    </w:p>
    <w:p>
      <w:pPr>
        <w:pStyle w:val="BodyText"/>
        <w:spacing w:lineRule="exact" w:line="480" w:before="0" w:after="0"/>
        <w:ind w:left="720" w:firstLine="720"/>
        <w:jc w:val="both"/>
      </w:pPr>
      <w:r>
        <w:t xml:space="preserve">(4) the host maintains continuous observation and recording of the zone, with records preserved for not less than</w:t>
      </w:r>
      <w:r>
        <w:t xml:space="preserve"> </w:t>
      </w:r>
      <w:r>
        <w:t xml:space="preserve">[5] years; and</w:t>
      </w:r>
    </w:p>
    <w:p>
      <w:pPr>
        <w:pStyle w:val="BodyText"/>
        <w:spacing w:lineRule="exact" w:line="480" w:before="0" w:after="0"/>
        <w:ind w:left="720" w:firstLine="720"/>
        <w:jc w:val="both"/>
      </w:pPr>
      <w:r>
        <w:t xml:space="preserve">(5) the host agrees to report publicly, within [72] hours, every arrival, departure, and contact, and every instance</w:t>
      </w:r>
      <w:r>
        <w:t xml:space="preserve"> </w:t>
      </w:r>
      <w:r>
        <w:t xml:space="preserve">of interference.</w:t>
      </w:r>
    </w:p>
    <w:p>
      <w:pPr>
        <w:pStyle w:val="BodyText"/>
        <w:spacing w:lineRule="exact" w:line="480" w:before="0" w:after="0"/>
        <w:ind w:left="0" w:firstLine="720"/>
        <w:jc w:val="both"/>
      </w:pPr>
      <w:r>
        <w:t xml:space="preserve">(b) Deadline. The Administrator shall grant or deny an application within 180 days and shall state the reasons for</w:t>
      </w:r>
      <w:r>
        <w:t xml:space="preserve"> </w:t>
      </w:r>
      <w:r>
        <w:t xml:space="preserve">any denial in writing. A denial is subject to review under chapter 7 of title 5, United States Code.</w:t>
      </w:r>
    </w:p>
    <w:p>
      <w:pPr>
        <w:pStyle w:val="BodyText"/>
        <w:spacing w:lineRule="exact" w:line="480" w:before="0" w:after="0"/>
        <w:ind w:left="0" w:firstLine="720"/>
        <w:jc w:val="both"/>
      </w:pPr>
      <w:r>
        <w:t xml:space="preserve">(c) Airspace. Upon certification, the Administrator shall designate the approach corridor by rule or order and</w:t>
      </w:r>
      <w:r>
        <w:t xml:space="preserve"> </w:t>
      </w:r>
      <w:r>
        <w:t xml:space="preserve">publish appropriate notices to airmen.</w:t>
      </w:r>
    </w:p>
    <w:p>
      <w:pPr>
        <w:pStyle w:val="BodyText"/>
        <w:spacing w:lineRule="exact" w:line="480" w:before="0" w:after="0"/>
        <w:ind w:left="0" w:firstLine="720"/>
        <w:jc w:val="both"/>
      </w:pPr>
      <w:r>
        <w:t xml:space="preserve">(d) Limit. The Administrator may certify no more than [__] zones in the first [3] years after enactment.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PROHIBITIONS.</w:t>
      </w:r>
    </w:p>
    <w:p>
      <w:pPr>
        <w:pStyle w:val="BodyText"/>
        <w:spacing w:lineRule="exact" w:line="480" w:before="0" w:after="0"/>
        <w:ind w:left="0" w:firstLine="720"/>
        <w:jc w:val="both"/>
      </w:pPr>
      <w:r>
        <w:t xml:space="preserve">(a) Use of force. No covered person shall use force against, disable, or interfere with the operation of a craft</w:t>
      </w:r>
      <w:r>
        <w:t xml:space="preserve"> </w:t>
      </w:r>
      <w:r>
        <w:t xml:space="preserve">that is within a zone or its approach corridor, or that is entering or leaving them, except to the extent necessary</w:t>
      </w:r>
      <w:r>
        <w:t xml:space="preserve"> </w:t>
      </w:r>
      <w:r>
        <w:t xml:space="preserve">to prevent an imminent threat of death or serious bodily injury to any person.</w:t>
      </w:r>
    </w:p>
    <w:p>
      <w:pPr>
        <w:pStyle w:val="BodyText"/>
        <w:spacing w:lineRule="exact" w:line="480" w:before="0" w:after="0"/>
        <w:ind w:left="0" w:firstLine="720"/>
        <w:jc w:val="both"/>
      </w:pPr>
      <w:r>
        <w:t xml:space="preserve">(b) Seizure and detention. No covered person shall seize a craft that is within a zone or its approach corridor, or</w:t>
      </w:r>
      <w:r>
        <w:t xml:space="preserve"> </w:t>
      </w:r>
      <w:r>
        <w:t xml:space="preserve">detain, transport, or restrain any non-human intelligence that is within a zone, or that is seized or detained in</w:t>
      </w:r>
      <w:r>
        <w:t xml:space="preserve"> </w:t>
      </w:r>
      <w:r>
        <w:t xml:space="preserve">violation of subsection (a).</w:t>
      </w:r>
    </w:p>
    <w:p>
      <w:pPr>
        <w:pStyle w:val="BodyText"/>
        <w:spacing w:lineRule="exact" w:line="480" w:before="0" w:after="0"/>
        <w:ind w:left="0" w:firstLine="720"/>
        <w:jc w:val="both"/>
      </w:pPr>
      <w:r>
        <w:t xml:space="preserve">(c) Interference with meetings. No covered person shall surveil, record, or disrupt communications within a zone by</w:t>
      </w:r>
      <w:r>
        <w:t xml:space="preserve"> </w:t>
      </w:r>
      <w:r>
        <w:t xml:space="preserve">means that require a warrant under the Fourth Amendment or chapter 119 of title 18, United States Code, without a</w:t>
      </w:r>
      <w:r>
        <w:t xml:space="preserve"> </w:t>
      </w:r>
      <w:r>
        <w:t xml:space="preserve">warrant issued by a court of competent jurisdiction.</w:t>
      </w:r>
    </w:p>
    <w:p>
      <w:pPr>
        <w:pStyle w:val="BodyText"/>
        <w:spacing w:lineRule="exact" w:line="480" w:before="0" w:after="0"/>
        <w:ind w:left="0" w:firstLine="720"/>
        <w:jc w:val="both"/>
      </w:pPr>
      <w:r>
        <w:t xml:space="preserve">(d) Relationship to other law. Section 130i of title 10, United States Code, section 124n of title 6, United States</w:t>
      </w:r>
      <w:r>
        <w:t xml:space="preserve"> </w:t>
      </w:r>
      <w:r>
        <w:t xml:space="preserve">Code, and any other authority to mitigate threats from unmanned aircraft shall not apply to a craft within a zone or</w:t>
      </w:r>
      <w:r>
        <w:t xml:space="preserve"> </w:t>
      </w:r>
      <w:r>
        <w:t xml:space="preserve">its approach corridor, except as provided in subsection (a).</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NOTICE AND EMERGENCY ACTION.</w:t>
      </w:r>
    </w:p>
    <w:p>
      <w:pPr>
        <w:pStyle w:val="BodyText"/>
        <w:spacing w:lineRule="exact" w:line="480" w:before="0" w:after="0"/>
        <w:ind w:left="0" w:firstLine="720"/>
        <w:jc w:val="both"/>
      </w:pPr>
      <w:r>
        <w:t xml:space="preserve">(a) Notice. A covered person who takes any action under the exception in section ___(a) shall report the action</w:t>
      </w:r>
      <w:r>
        <w:t xml:space="preserve"> </w:t>
      </w:r>
      <w:r>
        <w:t xml:space="preserve">within 24 hours to the Independent Monitor and to the appropriate congressional committees.</w:t>
      </w:r>
    </w:p>
    <w:p>
      <w:pPr>
        <w:pStyle w:val="BodyText"/>
        <w:spacing w:lineRule="exact" w:line="480" w:before="0" w:after="0"/>
        <w:ind w:left="0" w:firstLine="720"/>
        <w:jc w:val="both"/>
      </w:pPr>
      <w:r>
        <w:t xml:space="preserve">(b) Emergency order. If the President determines that a craft within a zone poses an imminent threat to the national</w:t>
      </w:r>
      <w:r>
        <w:t xml:space="preserve"> </w:t>
      </w:r>
      <w:r>
        <w:t xml:space="preserve">security of the United States, the President may authorize action otherwise prohibited by this Act. The President</w:t>
      </w:r>
      <w:r>
        <w:t xml:space="preserve"> </w:t>
      </w:r>
      <w:r>
        <w:t xml:space="preserve">shall notify the appropriate congressional committees in writing within 48 hours, stating the facts on which the</w:t>
      </w:r>
      <w:r>
        <w:t xml:space="preserve"> </w:t>
      </w:r>
      <w:r>
        <w:t xml:space="preserve">determination rests. No such authorization may extend beyond [72] hours without a further determination and notice.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INDEPENDENT MONITOR.</w:t>
      </w:r>
    </w:p>
    <w:p>
      <w:pPr>
        <w:pStyle w:val="BodyText"/>
        <w:spacing w:lineRule="exact" w:line="480" w:before="0" w:after="0"/>
        <w:ind w:left="0" w:firstLine="720"/>
        <w:jc w:val="both"/>
      </w:pPr>
      <w:r>
        <w:t xml:space="preserve">(a) Establishment. There is established an Independent Monitor for Peaceful Contact Zones, appointed by [the</w:t>
      </w:r>
      <w:r>
        <w:t xml:space="preserve"> </w:t>
      </w:r>
      <w:r>
        <w:t xml:space="preserve">Comptroller General / the President by and with the advice and consent of the Senate] for a term of [6] years, who</w:t>
      </w:r>
      <w:r>
        <w:t xml:space="preserve"> </w:t>
      </w:r>
      <w:r>
        <w:t xml:space="preserve">may be removed only for cause.</w:t>
      </w:r>
    </w:p>
    <w:p>
      <w:pPr>
        <w:pStyle w:val="BodyText"/>
        <w:spacing w:lineRule="exact" w:line="480" w:before="0" w:after="0"/>
        <w:ind w:left="0" w:firstLine="720"/>
        <w:jc w:val="both"/>
      </w:pPr>
      <w:r>
        <w:t xml:space="preserve">(b) Duties. The Monitor shall—</w:t>
      </w:r>
    </w:p>
    <w:p>
      <w:pPr>
        <w:pStyle w:val="BodyText"/>
        <w:spacing w:lineRule="exact" w:line="480" w:before="0" w:after="0"/>
        <w:ind w:left="720" w:firstLine="720"/>
        <w:jc w:val="both"/>
      </w:pPr>
      <w:r>
        <w:t xml:space="preserve">(1) receive the reports required by this Act;</w:t>
      </w:r>
    </w:p>
    <w:p>
      <w:pPr>
        <w:pStyle w:val="BodyText"/>
        <w:spacing w:lineRule="exact" w:line="480" w:before="0" w:after="0"/>
        <w:ind w:left="720" w:firstLine="720"/>
        <w:jc w:val="both"/>
      </w:pPr>
      <w:r>
        <w:t xml:space="preserve">(2) investigate any credible allegation of a violation, with access to all relevant records and personnel of any</w:t>
      </w:r>
      <w:r>
        <w:t xml:space="preserve"> </w:t>
      </w:r>
      <w:r>
        <w:t xml:space="preserve">covered person, at every level of classification, including special access programs;</w:t>
      </w:r>
    </w:p>
    <w:p>
      <w:pPr>
        <w:pStyle w:val="BodyText"/>
        <w:spacing w:lineRule="exact" w:line="480" w:before="0" w:after="0"/>
        <w:ind w:left="720" w:firstLine="720"/>
        <w:jc w:val="both"/>
      </w:pPr>
      <w:r>
        <w:t xml:space="preserve">(3) report to the appropriate congressional committees not less than every 6 months, in unclassified form with a</w:t>
      </w:r>
      <w:r>
        <w:t xml:space="preserve"> </w:t>
      </w:r>
      <w:r>
        <w:t xml:space="preserve">classified annex if necessary; and</w:t>
      </w:r>
    </w:p>
    <w:p>
      <w:pPr>
        <w:pStyle w:val="BodyText"/>
        <w:spacing w:lineRule="exact" w:line="480" w:before="0" w:after="0"/>
        <w:ind w:left="720" w:firstLine="720"/>
        <w:jc w:val="both"/>
      </w:pPr>
      <w:r>
        <w:t xml:space="preserve">(4) publish an unclassified summary of each report.</w:t>
      </w:r>
    </w:p>
    <w:p>
      <w:pPr>
        <w:pStyle w:val="BodyText"/>
        <w:spacing w:lineRule="exact" w:line="480" w:before="0" w:after="0"/>
        <w:ind w:left="0" w:firstLine="720"/>
        <w:jc w:val="both"/>
      </w:pPr>
      <w:r>
        <w:t xml:space="preserve">(c) Clearances. The heads of the relevant departments and agencies shall grant the Monitor and staff the clearances</w:t>
      </w:r>
      <w:r>
        <w:t xml:space="preserve"> </w:t>
      </w:r>
      <w:r>
        <w:t xml:space="preserve">and program accesses necessary to perform these duties within 90 days of a request.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CIVIL ACTION.</w:t>
      </w:r>
    </w:p>
    <w:p>
      <w:pPr>
        <w:pStyle w:val="BodyText"/>
        <w:spacing w:lineRule="exact" w:line="480" w:before="0" w:after="0"/>
        <w:ind w:left="0" w:firstLine="720"/>
        <w:jc w:val="both"/>
      </w:pPr>
      <w:r>
        <w:t xml:space="preserve">(a) In general. A host, or any person present in a zone, injured by a violation of section ___ may bring a civil</w:t>
      </w:r>
      <w:r>
        <w:t xml:space="preserve"> </w:t>
      </w:r>
      <w:r>
        <w:t xml:space="preserve">action in a district court of the United States against any covered person, other than the United States, for</w:t>
      </w:r>
      <w:r>
        <w:t xml:space="preserve"> </w:t>
      </w:r>
      <w:r>
        <w:t xml:space="preserve">declaratory and injunctive relief, damages, and reasonable attorney’s fees.</w:t>
      </w:r>
    </w:p>
    <w:p>
      <w:pPr>
        <w:pStyle w:val="BodyText"/>
        <w:spacing w:lineRule="exact" w:line="480" w:before="0" w:after="0"/>
        <w:ind w:left="0" w:firstLine="720"/>
        <w:jc w:val="both"/>
      </w:pPr>
      <w:r>
        <w:t xml:space="preserve">(b) Next friend. A civil action for injunctive relief on behalf of a non-human intelligence detained in violation of</w:t>
      </w:r>
      <w:r>
        <w:t xml:space="preserve"> </w:t>
      </w:r>
      <w:r>
        <w:t xml:space="preserve">this Act may be brought by a next friend.</w:t>
      </w:r>
    </w:p>
    <w:p>
      <w:pPr>
        <w:pStyle w:val="BodyText"/>
        <w:spacing w:lineRule="exact" w:line="480" w:before="0" w:after="0"/>
        <w:ind w:left="0" w:firstLine="720"/>
        <w:jc w:val="both"/>
      </w:pPr>
      <w:r>
        <w:t xml:space="preserve">(c) Classified information. The court shall apply the procedures of [section ___ / the Classified Information</w:t>
      </w:r>
      <w:r>
        <w:t xml:space="preserve"> </w:t>
      </w:r>
      <w:r>
        <w:t xml:space="preserve">Procedures Act, as adapted] to protect classified information. The assertion of a privilege over classified</w:t>
      </w:r>
      <w:r>
        <w:t xml:space="preserve"> </w:t>
      </w:r>
      <w:r>
        <w:t xml:space="preserve">information shall not by itself require dismissal of an action under this section.</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OFFENSE.</w:t>
      </w:r>
    </w:p>
    <w:p>
      <w:pPr>
        <w:spacing w:lineRule="exact" w:line="480" w:before="0" w:after="0"/>
        <w:ind w:firstLine="720"/>
        <w:jc w:val="both"/>
      </w:pPr>
      <w:r/>
      <w:r>
        <w:t xml:space="preserve">Whoever, being a covered person, knowingly violates section ___(a) or (b) shall be fined under</w:t>
      </w:r>
      <w:r>
        <w:t xml:space="preserve"> </w:t>
      </w:r>
      <w:r>
        <w:t xml:space="preserve">title 18, United States Code, imprisoned not more than [10] years, or both.</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RULES OF CONSTRUCTION.</w:t>
      </w:r>
    </w:p>
    <w:p>
      <w:pPr>
        <w:spacing w:lineRule="exact" w:line="480" w:before="0" w:after="0"/>
        <w:ind w:firstLine="720"/>
        <w:jc w:val="both"/>
      </w:pPr>
      <w:r/>
      <w:r>
        <w:t xml:space="preserve">Nothing in this Act shall be construed—</w:t>
      </w:r>
    </w:p>
    <w:p>
      <w:pPr>
        <w:pStyle w:val="BodyText"/>
        <w:spacing w:lineRule="exact" w:line="480" w:before="0" w:after="0"/>
        <w:ind w:left="720" w:firstLine="720"/>
        <w:jc w:val="both"/>
      </w:pPr>
      <w:r>
        <w:t xml:space="preserve">(1) to determine the legal status of any non-human intelligence;</w:t>
      </w:r>
    </w:p>
    <w:p>
      <w:pPr>
        <w:pStyle w:val="BodyText"/>
        <w:spacing w:lineRule="exact" w:line="480" w:before="0" w:after="0"/>
        <w:ind w:left="720" w:firstLine="720"/>
        <w:jc w:val="both"/>
      </w:pPr>
      <w:r>
        <w:t xml:space="preserve">(2) to recognize any government, to confer diplomatic status or immunity on any person, or to authorize any person to</w:t>
      </w:r>
      <w:r>
        <w:t xml:space="preserve"> </w:t>
      </w:r>
      <w:r>
        <w:t xml:space="preserve">conduct relations on behalf of the United States;</w:t>
      </w:r>
    </w:p>
    <w:p>
      <w:pPr>
        <w:pStyle w:val="BodyText"/>
        <w:spacing w:lineRule="exact" w:line="480" w:before="0" w:after="0"/>
        <w:ind w:left="720" w:firstLine="720"/>
        <w:jc w:val="both"/>
      </w:pPr>
      <w:r>
        <w:t xml:space="preserve">(3) to limit the authority of the United States to respond to an imminent threat to persons; or</w:t>
      </w:r>
    </w:p>
    <w:p>
      <w:pPr>
        <w:pStyle w:val="BodyText"/>
        <w:spacing w:lineRule="exact" w:line="480" w:before="0" w:after="0"/>
        <w:ind w:left="720" w:firstLine="720"/>
        <w:jc w:val="both"/>
      </w:pPr>
      <w:r>
        <w:t xml:space="preserve">(4) to authorize any person to violate any other law of the United States.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APPROPRIATE CONGRESSIONAL COMMITTEES.</w:t>
      </w:r>
    </w:p>
    <w:p>
      <w:pPr>
        <w:spacing w:lineRule="exact" w:line="480" w:before="0" w:after="0"/>
        <w:ind w:firstLine="720"/>
        <w:jc w:val="both"/>
      </w:pPr>
      <w:r/>
      <w:r>
        <w:t xml:space="preserve">In this Act,</w:t>
      </w:r>
      <w:r>
        <w:t xml:space="preserve"> </w:t>
      </w:r>
      <w:r>
        <w:t xml:space="preserve">“</w:t>
      </w:r>
      <w:r>
        <w:t xml:space="preserve">appropriate congressional committees</w:t>
      </w:r>
      <w:r>
        <w:t xml:space="preserve">”</w:t>
      </w:r>
      <w:r>
        <w:t xml:space="preserve"> </w:t>
      </w:r>
      <w:r>
        <w:t xml:space="preserve">means the</w:t>
      </w:r>
      <w:r>
        <w:t xml:space="preserve"> </w:t>
      </w:r>
      <w:r>
        <w:t xml:space="preserve">committees on armed services, intelligence, commerce or transportation, and the judiciary of the Senate and the</w:t>
      </w:r>
      <w:r>
        <w:t xml:space="preserve"> </w:t>
      </w:r>
      <w:r>
        <w:t xml:space="preserve">House of Representatives.</w:t>
      </w:r>
    </w:p>
    <w:p>
      <w:pPr>
        <w:pStyle w:val="BodyText"/>
        <w:suppressLineNumbers/>
        <w:spacing w:lineRule="exact" w:line="40" w:before="0" w:after="0"/>
        <w:sectPr>
          <w:headerReference w:type="default" r:id="rId11"/>
          <w:footerReference w:type="default" r:id="rId12"/>
          <w:headerReference w:type="first" r:id="rId13"/>
          <w:footerReference w:type="first" r:id="rId14"/>
          <w:pgSz w:h="15840" w:w="12240"/>
          <w:pgMar w:bottom="1440" w:left="2160" w:right="1440" w:top="1440" w:header="720" w:footer="720"/>
          <w:lnNumType w:countBy="1" w:restart="newPage" w:distance="503"/>
          <w:pgNumType w:start="1"/>
          <w:titlePg/>
        </w:sectPr>
      </w:pPr>
    </w:p>
    <w:bookmarkStart w:id="26" w:name="drafting-notes"/>
    <w:p>
      <w:pPr>
        <w:pStyle w:val="Heading2"/>
        <w:suppressLineNumbers/>
      </w:pPr>
      <w:r>
        <w:t xml:space="preserve">Drafting notes</w:t>
      </w:r>
    </w:p>
    <w:p>
      <w:pPr>
        <w:pStyle w:val="Compact"/>
        <w:numPr>
          <w:ilvl w:val="0"/>
          <w:numId w:val="1001"/>
        </w:numPr>
        <w:suppressLineNumbers/>
      </w:pPr>
      <w:r>
        <w:rPr>
          <w:bCs/>
          <w:b/>
        </w:rPr>
        <w:t xml:space="preserve">Why certification by the FAA.</w:t>
      </w:r>
      <w:r>
        <w:t xml:space="preserve"> </w:t>
      </w:r>
      <w:r>
        <w:t xml:space="preserve">The FAA already assigns the use of the airspace (49 U.S.C. §40103(b)) and can</w:t>
      </w:r>
      <w:r>
        <w:t xml:space="preserve"> </w:t>
      </w:r>
      <w:r>
        <w:t xml:space="preserve">designate the approach corridor by rule or order. Consultation with the Defense Department addresses the national</w:t>
      </w:r>
      <w:r>
        <w:t xml:space="preserve"> </w:t>
      </w:r>
      <w:r>
        <w:t xml:space="preserve">defense concerns that would otherwise defeat the bill.</w:t>
      </w:r>
    </w:p>
    <w:p>
      <w:pPr>
        <w:pStyle w:val="Compact"/>
        <w:numPr>
          <w:ilvl w:val="0"/>
          <w:numId w:val="1001"/>
        </w:numPr>
        <w:suppressLineNumbers/>
      </w:pPr>
      <w:r>
        <w:rPr>
          <w:bCs/>
          <w:b/>
        </w:rPr>
        <w:t xml:space="preserve">The emergency exception.</w:t>
      </w:r>
      <w:r>
        <w:t xml:space="preserve"> </w:t>
      </w:r>
      <w:r>
        <w:t xml:space="preserve">Section ___(b) preserves a presidential override for genuine threats, with prompt</w:t>
      </w:r>
      <w:r>
        <w:t xml:space="preserve"> </w:t>
      </w:r>
      <w:r>
        <w:t xml:space="preserve">notice. Without it the bill is unlikely to pass, and courts would likely read a similar exception into it.</w:t>
      </w:r>
    </w:p>
    <w:p>
      <w:pPr>
        <w:pStyle w:val="Compact"/>
        <w:numPr>
          <w:ilvl w:val="0"/>
          <w:numId w:val="1001"/>
        </w:numPr>
        <w:suppressLineNumbers/>
      </w:pPr>
      <w:r>
        <w:rPr>
          <w:bCs/>
          <w:b/>
        </w:rPr>
        <w:t xml:space="preserve">§130i.</w:t>
      </w:r>
      <w:r>
        <w:t xml:space="preserve"> </w:t>
      </w:r>
      <w:r>
        <w:t xml:space="preserve">The withdrawal in section ___(d) is the most important operative provision; §130i lets the Defense</w:t>
      </w:r>
      <w:r>
        <w:t xml:space="preserve"> </w:t>
      </w:r>
      <w:r>
        <w:t xml:space="preserve">Department seize and destroy</w:t>
      </w:r>
      <w:r>
        <w:t xml:space="preserve"> </w:t>
      </w:r>
      <w:r>
        <w:t xml:space="preserve">“</w:t>
      </w:r>
      <w:r>
        <w:t xml:space="preserve">unmanned aircraft</w:t>
      </w:r>
      <w:r>
        <w:t xml:space="preserve">”</w:t>
      </w:r>
      <w:r>
        <w:t xml:space="preserve"> </w:t>
      </w:r>
      <w:r>
        <w:t xml:space="preserve">near covered facilities, a definition that literally fits a craft</w:t>
      </w:r>
      <w:r>
        <w:t xml:space="preserve"> </w:t>
      </w:r>
      <w:r>
        <w:t xml:space="preserve">with non-human occupants (</w:t>
      </w:r>
      <w:hyperlink r:id="rId23">
        <w:r>
          <w:rPr>
            <w:rStyle w:val="Hyperlink"/>
          </w:rPr>
          <w:t xml:space="preserve">Issue F2</w:t>
        </w:r>
      </w:hyperlink>
      <w:r>
        <w:t xml:space="preserve">).</w:t>
      </w:r>
    </w:p>
    <w:p>
      <w:pPr>
        <w:pStyle w:val="Compact"/>
        <w:numPr>
          <w:ilvl w:val="0"/>
          <w:numId w:val="1001"/>
        </w:numPr>
        <w:suppressLineNumbers/>
      </w:pPr>
      <w:r>
        <w:rPr>
          <w:bCs/>
          <w:b/>
        </w:rPr>
        <w:t xml:space="preserve">No recognition.</w:t>
      </w:r>
      <w:r>
        <w:t xml:space="preserve"> </w:t>
      </w:r>
      <w:r>
        <w:t xml:space="preserve">The rule of construction in paragraph (2) answers the objection that the bill conducts foreign</w:t>
      </w:r>
      <w:r>
        <w:t xml:space="preserve"> </w:t>
      </w:r>
      <w:r>
        <w:t xml:space="preserve">relations or recognizes an NHI government (</w:t>
      </w:r>
      <w:hyperlink r:id="rId24">
        <w:r>
          <w:rPr>
            <w:rStyle w:val="Hyperlink"/>
          </w:rPr>
          <w:t xml:space="preserve">Issue F7</w:t>
        </w:r>
      </w:hyperlink>
      <w:r>
        <w:t xml:space="preserve"> </w:t>
      </w:r>
      <w:r>
        <w:t xml:space="preserve">§4).</w:t>
      </w:r>
    </w:p>
    <w:p>
      <w:pPr>
        <w:pStyle w:val="Compact"/>
        <w:numPr>
          <w:ilvl w:val="0"/>
          <w:numId w:val="1001"/>
        </w:numPr>
        <w:suppressLineNumbers/>
      </w:pPr>
      <w:r>
        <w:rPr>
          <w:bCs/>
          <w:b/>
        </w:rPr>
        <w:t xml:space="preserve">Pairing.</w:t>
      </w:r>
      <w:r>
        <w:t xml:space="preserve"> </w:t>
      </w:r>
      <w:r>
        <w:t xml:space="preserve">Offer with</w:t>
      </w:r>
      <w:r>
        <w:t xml:space="preserve"> </w:t>
      </w:r>
      <w:hyperlink r:id="rId25">
        <w:r>
          <w:rPr>
            <w:rStyle w:val="Hyperlink"/>
          </w:rPr>
          <w:t xml:space="preserve">Form F2-1</w:t>
        </w:r>
      </w:hyperlink>
      <w:r>
        <w:t xml:space="preserve"> </w:t>
      </w:r>
      <w:r>
        <w:t xml:space="preserve">(interim protection), which bars killing and mistreatment anywhere, and with</w:t>
      </w:r>
      <w:r>
        <w:t xml:space="preserve"> </w:t>
      </w:r>
      <w:hyperlink r:id="rId21">
        <w:r>
          <w:rPr>
            <w:rStyle w:val="Hyperlink"/>
          </w:rPr>
          <w:t xml:space="preserve">Form F7-2</w:t>
        </w:r>
      </w:hyperlink>
      <w:r>
        <w:t xml:space="preserve"> </w:t>
      </w:r>
      <w:r>
        <w:t xml:space="preserve">for the states.</w:t>
      </w:r>
    </w:p>
    <w:p>
      <w:pPr>
        <w:pStyle w:val="Compact"/>
        <w:numPr>
          <w:ilvl w:val="0"/>
          <w:numId w:val="1001"/>
        </w:numPr>
        <w:suppressLineNumbers/>
      </w:pPr>
      <w:r>
        <w:t xml:space="preserve">Related:</w:t>
      </w:r>
      <w:r>
        <w:t xml:space="preserve"> </w:t>
      </w:r>
      <w:hyperlink r:id="rId24">
        <w:r>
          <w:rPr>
            <w:rStyle w:val="Hyperlink"/>
          </w:rPr>
          <w:t xml:space="preserve">Issue F7</w:t>
        </w:r>
      </w:hyperlink>
      <w:r>
        <w:t xml:space="preserve">, F2, F3, F5, A3; Forms F2-1, F7-2, F7-3, F7-4.</w:t>
      </w:r>
    </w:p>
    <w:bookmarkEnd w:id="26"/>
    <w:bookmarkEnd w:id="27"/>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rPr>
        <w:rFonts w:ascii="Century Schoolbook" w:hAnsi="Century Schoolbook" w:cs="Century Schoolbook" w:eastAsia="Century Schoolbook"/>
        <w:i/>
        <w:sz w:val="16"/>
      </w:rPr>
      <w:t>[H.R. ____]  Discussion draft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jc w:val="center"/>
    </w:pPr>
    <w:r>
      <w:rPr>
        <w:rFonts w:ascii="Century Schoolbook" w:hAnsi="Century Schoolbook" w:cs="Century Schoolbook" w:eastAsia="Century Schoolbook"/>
        <w:sz w:val="22"/>
      </w:rPr>
      <w:fldChar w:fldCharType="begin"/>
    </w:r>
    <w:r>
      <w:rPr>
        <w:rFonts w:ascii="Century Schoolbook" w:hAnsi="Century Schoolbook" w:cs="Century Schoolbook" w:eastAsia="Century Schoolbook"/>
        <w:sz w:val="22"/>
      </w:rPr>
      <w:instrText xml:space="preserve"> PAGE </w:instrText>
    </w:r>
    <w:r>
      <w:rPr>
        <w:rFonts w:ascii="Century Schoolbook" w:hAnsi="Century Schoolbook" w:cs="Century Schoolbook" w:eastAsia="Century Schoolbook"/>
        <w:sz w:val="22"/>
      </w:rPr>
      <w:fldChar w:fldCharType="separate"/>
    </w:r>
    <w:r>
      <w:rPr>
        <w:rFonts w:ascii="Century Schoolbook" w:hAnsi="Century Schoolbook" w:cs="Century Schoolbook" w:eastAsia="Century Schoolbook"/>
        <w:sz w:val="22"/>
      </w:rPr>
      <w:t>1</w:t>
    </w:r>
    <w:r>
      <w:rPr>
        <w:rFonts w:ascii="Century Schoolbook" w:hAnsi="Century Schoolbook" w:cs="Century Schoolbook" w:eastAsia="Century Schoolbook"/>
        <w:sz w:val="22"/>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Century Schoolbook" w:cs="Century Schoolbook" w:eastAsia="Century Schoolbook" w:hAnsi="Century Schoolbook"/>
      <w:color w:val="000000"/>
      <w:sz w:val="24"/>
    </w:rPr>
  </w:style>
  <w:style w:styleId="BodyText" w:type="paragraph">
    <w:name w:val="Body Text"/>
    <w:basedOn w:val="Normal"/>
    <w:link w:val="BodyTextChar"/>
    <w:pPr>
      <w:spacing w:after="0" w:before="0" w:line="240" w:lineRule="auto"/>
    </w:pPr>
    <w:qFormat/>
    <w:rPr>
      <w:rFonts w:ascii="Century Schoolbook" w:cs="Century Schoolbook" w:eastAsia="Century Schoolbook" w:hAnsi="Century Schoolbook"/>
      <w:color w:val="000000"/>
      <w:sz w:val="24"/>
    </w:rPr>
  </w:style>
  <w:style w:customStyle="1" w:styleId="FirstParagraph" w:type="paragraph">
    <w:name w:val="First Paragraph"/>
    <w:basedOn w:val="BodyText"/>
    <w:next w:val="BodyText"/>
    <w:qFormat/>
    <w:pPr>
      <w:spacing w:after="0" w:before="0" w:line="240" w:lineRule="auto"/>
    </w:pPr>
    <w:rPr>
      <w:rFonts w:ascii="Century Schoolbook" w:cs="Century Schoolbook" w:eastAsia="Century Schoolbook" w:hAnsi="Century Schoolbook"/>
      <w:color w:val="000000"/>
      <w:sz w:val="24"/>
    </w:rPr>
  </w:style>
  <w:style w:customStyle="1" w:styleId="Compact" w:type="paragraph">
    <w:name w:val="Compact"/>
    <w:basedOn w:val="BodyText"/>
    <w:qFormat/>
    <w:pPr>
      <w:spacing w:after="0" w:before="0" w:line="240" w:lineRule="auto"/>
    </w:pPr>
    <w:rPr>
      <w:rFonts w:ascii="Century Schoolbook" w:cs="Century Schoolbook" w:eastAsia="Century Schoolbook" w:hAnsi="Century Schoolbook"/>
      <w:color w:val="000000"/>
      <w:sz w:val="24"/>
    </w:rPr>
  </w:style>
  <w:style w:styleId="Title" w:type="paragraph">
    <w:name w:val="Title"/>
    <w:basedOn w:val="Normal"/>
    <w:next w:val="BodyText"/>
    <w:qFormat/>
    <w:pPr>
      <w:keepNext/>
      <w:keepLines/>
      <w:spacing w:after="160" w:before="480"/>
      <w:jc w:val="left"/>
    </w:pPr>
    <w:rPr>
      <w:rFonts w:ascii="Century Schoolbook" w:cs="Century Schoolbook" w:eastAsia="Century Schoolbook" w:hAnsi="Century Schoolbook"/>
      <w:b/>
      <w:bCs/>
      <w:color w:val="1A2B3C"/>
      <w:sz w:val="40"/>
      <w:szCs w:val="36"/>
    </w:rPr>
  </w:style>
  <w:style w:styleId="Subtitle" w:type="paragraph">
    <w:name w:val="Subtitle"/>
    <w:basedOn w:val="Title"/>
    <w:next w:val="BodyText"/>
    <w:qFormat/>
    <w:pPr>
      <w:keepNext/>
      <w:keepLines/>
      <w:spacing w:after="160" w:before="240"/>
      <w:jc w:val="left"/>
    </w:pPr>
    <w:rPr>
      <w:rFonts w:ascii="Century Schoolbook" w:cs="Century Schoolbook" w:eastAsia="Century Schoolbook" w:hAnsi="Century Schoolbook"/>
      <w:color w:val="1A2B3C"/>
      <w:sz w:val="22"/>
      <w:szCs w:val="30"/>
    </w:rPr>
  </w:style>
  <w:style w:customStyle="1" w:styleId="Author" w:type="paragraph">
    <w:name w:val="Author"/>
    <w:next w:val="BodyText"/>
    <w:qFormat/>
    <w:pPr>
      <w:keepNext/>
      <w:keepLines/>
      <w:jc w:val="center"/>
    </w:pPr>
    <w:rPr>
      <w:rFonts w:ascii="Century Schoolbook" w:cs="Century Schoolbook" w:eastAsia="Century Schoolbook" w:hAnsi="Century Schoolbook"/>
      <w:color w:val="000000"/>
    </w:rPr>
  </w:style>
  <w:style w:styleId="Date" w:type="paragraph">
    <w:name w:val="Date"/>
    <w:next w:val="BodyText"/>
    <w:qFormat/>
    <w:pPr>
      <w:keepNext/>
      <w:keepLines/>
      <w:jc w:val="center"/>
    </w:pPr>
    <w:rPr>
      <w:rFonts w:ascii="Century Schoolbook" w:cs="Century Schoolbook" w:eastAsia="Century Schoolbook" w:hAnsi="Century Schoolbook"/>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entury Schoolbook" w:cs="Century Schoolbook" w:eastAsia="Century Schoolbook" w:hAnsi="Century Schoolbook"/>
      <w:b/>
    </w:rPr>
  </w:style>
  <w:style w:customStyle="1" w:styleId="Abstract" w:type="paragraph">
    <w:name w:val="Abstract"/>
    <w:basedOn w:val="Normal"/>
    <w:next w:val="BodyText"/>
    <w:qFormat/>
    <w:pPr>
      <w:keepNext/>
      <w:keepLines/>
      <w:spacing w:after="300" w:before="100"/>
    </w:pPr>
    <w:rPr>
      <w:rFonts w:ascii="Century Schoolbook" w:cs="Century Schoolbook" w:eastAsia="Century Schoolbook" w:hAnsi="Century Schoolbook"/>
      <w:color w:val="000000"/>
      <w:sz w:val="20"/>
      <w:szCs w:val="20"/>
    </w:rPr>
  </w:style>
  <w:style w:styleId="Bibliography" w:type="paragraph">
    <w:name w:val="Bibliography"/>
    <w:basedOn w:val="Normal"/>
    <w:next w:val="Bibliography"/>
    <w:qFormat/>
    <w:pPr/>
    <w:rPr>
      <w:rFonts w:ascii="Century Schoolbook" w:cs="Century Schoolbook" w:eastAsia="Century Schoolbook" w:hAnsi="Century Schoolbook"/>
      <w:color w:val="000000"/>
    </w:rPr>
  </w:style>
  <w:style w:styleId="Heading1" w:type="paragraph">
    <w:name w:val="Heading 1"/>
    <w:basedOn w:val="Normal"/>
    <w:next w:val="BodyText"/>
    <w:uiPriority w:val="9"/>
    <w:qFormat/>
    <w:pPr>
      <w:keepNext/>
      <w:keepLines/>
      <w:spacing w:after="120" w:before="280"/>
      <w:outlineLvl w:val="0"/>
    </w:pPr>
    <w:rPr>
      <w:rFonts w:ascii="Century Schoolbook" w:cs="Century Schoolbook" w:eastAsia="Century Schoolbook" w:hAnsi="Century Schoolbook"/>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Century Schoolbook" w:cs="Century Schoolbook" w:eastAsia="Century Schoolbook" w:hAnsi="Century Schoolbook"/>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Century Schoolbook" w:cs="Century Schoolbook" w:eastAsia="Century Schoolbook" w:hAnsi="Century Schoolbook"/>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Century Schoolbook" w:cs="Century Schoolbook" w:eastAsia="Century Schoolbook" w:hAnsi="Century Schoolbook"/>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Century Schoolbook" w:cs="Century Schoolbook" w:eastAsia="Century Schoolbook" w:hAnsi="Century Schoolbook"/>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entury Schoolbook" w:cs="Century Schoolbook" w:eastAsia="Century Schoolbook" w:hAnsi="Century Schoolbook"/>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entury Schoolbook" w:cs="Century Schoolbook" w:eastAsia="Century Schoolbook" w:hAnsi="Century Schoolbook"/>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entury Schoolbook" w:cs="Century Schoolbook" w:eastAsia="Century Schoolbook" w:hAnsi="Century Schoolbook"/>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entury Schoolbook" w:cs="Century Schoolbook" w:eastAsia="Century Schoolbook" w:hAnsi="Century Schoolbook"/>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Century Schoolbook" w:cs="Century Schoolbook" w:eastAsia="Century Schoolbook" w:hAnsi="Century Schoolbook"/>
      <w:color w:val="000000"/>
      <w:sz w:val="24"/>
    </w:rPr>
  </w:style>
  <w:style w:styleId="FootnoteText" w:type="paragraph">
    <w:name w:val="Footnote Text"/>
    <w:basedOn w:val="Normal"/>
    <w:next w:val="FootnoteText"/>
    <w:uiPriority w:val="9"/>
    <w:unhideWhenUsed/>
    <w:qFormat/>
    <w:rPr>
      <w:rFonts w:ascii="Century Schoolbook" w:cs="Century Schoolbook" w:eastAsia="Century Schoolbook" w:hAnsi="Century Schoolbook"/>
      <w:color w:val="000000"/>
    </w:rPr>
  </w:style>
  <w:style w:default="1" w:styleId="DefaultParagraphFont" w:type="character">
    <w:name w:val="Default Paragraph Font"/>
    <w:semiHidden/>
    <w:unhideWhenUsed/>
    <w:rPr>
      <w:rFonts w:ascii="Century Schoolbook" w:cs="Century Schoolbook" w:eastAsia="Century Schoolbook" w:hAnsi="Century Schoolbook"/>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entury Schoolbook" w:cs="Century Schoolbook" w:eastAsia="Century Schoolbook" w:hAnsi="Century Schoolbook"/>
      <w:b/>
      <w:color w:val="000000"/>
    </w:rPr>
  </w:style>
  <w:style w:customStyle="1" w:styleId="Definition" w:type="paragraph">
    <w:name w:val="Definition"/>
    <w:basedOn w:val="Normal"/>
    <w:rPr>
      <w:rFonts w:ascii="Century Schoolbook" w:cs="Century Schoolbook" w:eastAsia="Century Schoolbook" w:hAnsi="Century Schoolbook"/>
      <w:color w:val="000000"/>
    </w:rPr>
  </w:style>
  <w:style w:styleId="Caption" w:type="paragraph">
    <w:name w:val="Caption"/>
    <w:basedOn w:val="Normal"/>
    <w:link w:val="BodyTextChar"/>
    <w:pPr>
      <w:spacing w:after="120" w:before="0"/>
    </w:pPr>
    <w:rPr>
      <w:rFonts w:ascii="Century Schoolbook" w:cs="Century Schoolbook" w:eastAsia="Century Schoolbook" w:hAnsi="Century Schoolbook"/>
      <w:i/>
      <w:color w:val="000000"/>
    </w:rPr>
  </w:style>
  <w:style w:customStyle="1" w:styleId="TableCaption" w:type="paragraph">
    <w:name w:val="Table Caption"/>
    <w:basedOn w:val="Caption"/>
    <w:pPr>
      <w:keepNext/>
    </w:pPr>
    <w:rPr>
      <w:rFonts w:ascii="Century Schoolbook" w:cs="Century Schoolbook" w:eastAsia="Century Schoolbook" w:hAnsi="Century Schoolbook"/>
      <w:color w:val="000000"/>
    </w:rPr>
  </w:style>
  <w:style w:customStyle="1" w:styleId="ImageCaption" w:type="paragraph">
    <w:name w:val="Image Caption"/>
    <w:basedOn w:val="Caption"/>
    <w:rPr>
      <w:rFonts w:ascii="Century Schoolbook" w:cs="Century Schoolbook" w:eastAsia="Century Schoolbook" w:hAnsi="Century Schoolbook"/>
      <w:color w:val="000000"/>
    </w:rPr>
  </w:style>
  <w:style w:customStyle="1" w:styleId="Figure" w:type="paragraph">
    <w:name w:val="Figure"/>
    <w:basedOn w:val="Normal"/>
    <w:rPr>
      <w:rFonts w:ascii="Century Schoolbook" w:cs="Century Schoolbook" w:eastAsia="Century Schoolbook" w:hAnsi="Century Schoolbook"/>
      <w:color w:val="000000"/>
    </w:rPr>
  </w:style>
  <w:style w:customStyle="1" w:styleId="CaptionedFigure" w:type="paragraph">
    <w:name w:val="Captioned Figure"/>
    <w:basedOn w:val="Figure"/>
    <w:pPr>
      <w:keepNext/>
    </w:pPr>
    <w:rPr>
      <w:rFonts w:ascii="Century Schoolbook" w:cs="Century Schoolbook" w:eastAsia="Century Schoolbook" w:hAnsi="Century Schoolbook"/>
      <w:color w:val="000000"/>
    </w:rPr>
  </w:style>
  <w:style w:customStyle="1" w:styleId="BodyTextChar" w:type="character">
    <w:name w:val="Body Text Char"/>
    <w:basedOn w:val="DefaultParagraphFont"/>
    <w:link w:val="BodyText"/>
    <w:rPr>
      <w:rFonts w:ascii="Century Schoolbook" w:cs="Century Schoolbook" w:eastAsia="Century Schoolbook" w:hAnsi="Century Schoolbook"/>
      <w:color w:val="000000"/>
    </w:rPr>
  </w:style>
  <w:style w:customStyle="1" w:styleId="VerbatimChar" w:type="character">
    <w:name w:val="Verbatim Char"/>
    <w:basedOn w:val="BodyTextChar"/>
    <w:rPr>
      <w:rFonts w:ascii="Century Schoolbook" w:cs="Century Schoolbook" w:eastAsia="Century Schoolbook" w:hAnsi="Century Schoolbook"/>
      <w:color w:val="000000"/>
      <w:sz w:val="22"/>
    </w:rPr>
  </w:style>
  <w:style w:customStyle="1" w:styleId="SectionNumber" w:type="character">
    <w:name w:val="Section Number"/>
    <w:basedOn w:val="BodyTextChar"/>
    <w:rPr>
      <w:rFonts w:ascii="Century Schoolbook" w:cs="Century Schoolbook" w:eastAsia="Century Schoolbook" w:hAnsi="Century Schoolbook"/>
      <w:color w:val="000000"/>
    </w:rPr>
  </w:style>
  <w:style w:styleId="FootnoteReference" w:type="character">
    <w:name w:val="Footnote Reference"/>
    <w:basedOn w:val="BodyTextChar"/>
    <w:rPr>
      <w:rFonts w:ascii="Century Schoolbook" w:cs="Century Schoolbook" w:eastAsia="Century Schoolbook" w:hAnsi="Century Schoolbook"/>
      <w:color w:val="000000"/>
      <w:vertAlign w:val="superscript"/>
    </w:rPr>
  </w:style>
  <w:style w:styleId="Hyperlink" w:type="character">
    <w:name w:val="Hyperlink"/>
    <w:basedOn w:val="BodyTextChar"/>
    <w:rPr>
      <w:rFonts w:ascii="Century Schoolbook" w:cs="Century Schoolbook" w:eastAsia="Century Schoolbook" w:hAnsi="Century Schoolbook"/>
      <w:color w:val="1F6E6E"/>
    </w:rPr>
  </w:style>
  <w:style w:styleId="TOCHeading" w:type="paragraph">
    <w:name w:val="TOC Heading"/>
    <w:basedOn w:val="Heading1"/>
    <w:next w:val="BodyText"/>
    <w:uiPriority w:val="39"/>
    <w:unhideWhenUsed/>
    <w:qFormat/>
    <w:pPr>
      <w:spacing w:before="240" w:line="259" w:lineRule="auto"/>
      <w:outlineLvl w:val="9"/>
    </w:pPr>
    <w:rPr>
      <w:rFonts w:ascii="Century Schoolbook" w:cs="Century Schoolbook" w:eastAsia="Century Schoolbook" w:hAnsi="Century Schoolbook"/>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5" Type="http://schemas.openxmlformats.org/officeDocument/2006/relationships/hyperlink" Target="https://nhilaw.com/forms/f2-1.html" TargetMode="External"/><Relationship Id="rId21" Type="http://schemas.openxmlformats.org/officeDocument/2006/relationships/hyperlink" Target="https://nhilaw.com/forms/f7-2.html" TargetMode="External"/><Relationship Id="rId22" Type="http://schemas.openxmlformats.org/officeDocument/2006/relationships/hyperlink" Target="https://nhilaw.com/forms/f7-3.html" TargetMode="External"/><Relationship Id="rId20" Type="http://schemas.openxmlformats.org/officeDocument/2006/relationships/hyperlink" Target="https://nhilaw.com/issues/a3.html" TargetMode="External"/><Relationship Id="rId23" Type="http://schemas.openxmlformats.org/officeDocument/2006/relationships/hyperlink" Target="https://nhilaw.com/issues/f2.html" TargetMode="External"/><Relationship Id="rId24" Type="http://schemas.openxmlformats.org/officeDocument/2006/relationships/hyperlink" Target="https://nhilaw.com/issues/f7.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5" Type="http://schemas.openxmlformats.org/officeDocument/2006/relationships/hyperlink" Target="https://nhilaw.com/forms/f2-1.html" TargetMode="External"/><Relationship Id="rId21" Type="http://schemas.openxmlformats.org/officeDocument/2006/relationships/hyperlink" Target="https://nhilaw.com/forms/f7-2.html" TargetMode="External"/><Relationship Id="rId22" Type="http://schemas.openxmlformats.org/officeDocument/2006/relationships/hyperlink" Target="https://nhilaw.com/forms/f7-3.html" TargetMode="External"/><Relationship Id="rId20" Type="http://schemas.openxmlformats.org/officeDocument/2006/relationships/hyperlink" Target="https://nhilaw.com/issues/a3.html" TargetMode="External"/><Relationship Id="rId23" Type="http://schemas.openxmlformats.org/officeDocument/2006/relationships/hyperlink" Target="https://nhilaw.com/issues/f2.html" TargetMode="External"/><Relationship Id="rId24" Type="http://schemas.openxmlformats.org/officeDocument/2006/relationships/hyperlink" Target="https://nhilaw.com/issues/f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F7-1. Model Federal Statute: Peaceful Contact Zones Act</dc:title>
  <dc:creator>nhilaw.com</dc:creator>
  <cp:keywords/>
  <dcterms:created xsi:type="dcterms:W3CDTF">2026-10-19T03:15:30Z</dcterms:created>
  <dcterms:modified xsi:type="dcterms:W3CDTF">2026-10-19T03:15:30Z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