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suppressLineNumbers/>
      </w:pPr>
      <w:r>
        <w:rPr>
          <w:smallCaps/>
          <w:color w:val="1F6E6E"/>
          <w:sz w:val="18"/>
        </w:rPr>
        <w:t xml:space="preserve">nhilaw.com sample document</w:t>
      </w:r>
    </w:p>
    <w:bookmarkStart w:id="25" w:name="Xc8796409d9f5d09a3af7c98b09ebaedbd6319cf"/>
    <w:p>
      <w:pPr>
        <w:pStyle w:val="Heading1"/>
        <w:suppressLineNumbers/>
      </w:pPr>
      <w:r>
        <w:t xml:space="preserve">Form F7-2. Model State Statute: Peaceful Contact Zones</w:t>
      </w:r>
    </w:p>
    <w:p>
      <w:pPr>
        <w:pStyle w:val="FirstParagraph"/>
        <w:suppressLineNumbers/>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https://nhilaw.com/forms/f7-2.html</w:t>
      </w:r>
    </w:p>
    <w:p>
      <w:pPr>
        <w:pStyle w:val="BodyText"/>
        <w:suppressLineNumbers/>
        <w:spacing w:after="160" w:line="259" w:lineRule="auto"/>
      </w:pPr>
      <w:r>
        <w:rPr>
          <w:bCs/>
          <w:b/>
        </w:rPr>
        <w:t xml:space="preserve">Use.</w:t>
      </w:r>
      <w:r>
        <w:t xml:space="preserve"> </w:t>
      </w:r>
      <w:r>
        <w:t xml:space="preserve">A state cannot regulate airspace or bind federal officers, but it can protect a contact site against</w:t>
      </w:r>
      <w:r>
        <w:t xml:space="preserve"> </w:t>
      </w:r>
      <w:r>
        <w:t xml:space="preserve">everyone else. This model act lets a state agency certify peaceful contact zones on private land, forbids state and</w:t>
      </w:r>
      <w:r>
        <w:t xml:space="preserve"> </w:t>
      </w:r>
      <w:r>
        <w:t xml:space="preserve">local officers to help seize craft or occupants in a zone, makes interference by private persons a crime, and gives</w:t>
      </w:r>
      <w:r>
        <w:t xml:space="preserve"> </w:t>
      </w:r>
      <w:r>
        <w:t xml:space="preserve">hosts and participants a civil action. The anti-commandeering cases support the first of these provisions: the</w:t>
      </w:r>
      <w:r>
        <w:t xml:space="preserve"> </w:t>
      </w:r>
      <w:r>
        <w:t xml:space="preserve">federal government may not require state officers to carry out a federal program.</w:t>
      </w:r>
      <w:r>
        <w:t xml:space="preserve"> </w:t>
      </w:r>
      <w:r>
        <w:rPr>
          <w:iCs/>
          <w:i/>
        </w:rPr>
        <w:t xml:space="preserve">Printz v. United States</w:t>
      </w:r>
      <w:r>
        <w:t xml:space="preserve">, 521</w:t>
      </w:r>
      <w:r>
        <w:t xml:space="preserve"> </w:t>
      </w:r>
      <w:r>
        <w:t xml:space="preserve">U.S. 898 (1997);</w:t>
      </w:r>
      <w:r>
        <w:t xml:space="preserve"> </w:t>
      </w:r>
      <w:r>
        <w:rPr>
          <w:iCs/>
          <w:i/>
        </w:rPr>
        <w:t xml:space="preserve">Murphy v. NCAA</w:t>
      </w:r>
      <w:r>
        <w:t xml:space="preserve">, 584 U.S. 453 (2018).</w:t>
      </w:r>
    </w:p>
    <w:p>
      <w:pPr>
        <w:pStyle w:val="BodyText"/>
        <w:suppressLineNumbers/>
        <w:spacing w:after="160" w:line="259" w:lineRule="auto"/>
      </w:pPr>
      <w:r>
        <w:rPr>
          <w:bCs/>
          <w:b/>
        </w:rPr>
        <w:t xml:space="preserve">When to use.</w:t>
      </w:r>
      <w:r>
        <w:t xml:space="preserve"> </w:t>
      </w:r>
      <w:r>
        <w:t xml:space="preserve">State legislators and advocates in a state where a host plans a contact site.</w:t>
      </w:r>
      <w:r>
        <w:t xml:space="preserve"> </w:t>
      </w:r>
      <w:r>
        <w:rPr>
          <w:bCs/>
          <w:b/>
        </w:rPr>
        <w:t xml:space="preserve">Not for:</w:t>
      </w:r>
      <w:r>
        <w:t xml:space="preserve"> </w:t>
      </w:r>
      <w:r>
        <w:t xml:space="preserve">Federal</w:t>
      </w:r>
      <w:r>
        <w:t xml:space="preserve"> </w:t>
      </w:r>
      <w:r>
        <w:t xml:space="preserve">legislation (</w:t>
      </w:r>
      <w:hyperlink r:id="rId20">
        <w:r>
          <w:rPr>
            <w:rStyle w:val="Hyperlink"/>
          </w:rPr>
          <w:t xml:space="preserve">Form F7-1</w:t>
        </w:r>
      </w:hyperlink>
      <w:r>
        <w:t xml:space="preserve">).</w:t>
      </w:r>
    </w:p>
    <w:p>
      <w:pPr>
        <w:pStyle w:val="BodyText"/>
        <w:suppressLineNumbers/>
        <w:spacing w:after="160" w:line="259" w:lineRule="auto"/>
      </w:pPr>
      <w:r>
        <w:rPr>
          <w:bCs/>
          <w:b/>
        </w:rPr>
        <w:t xml:space="preserve">Deadlines.</w:t>
      </w:r>
      <w:r>
        <w:t xml:space="preserve"> </w:t>
      </w:r>
      <w:r>
        <w:t xml:space="preserve">None.</w:t>
      </w:r>
    </w:p>
    <w:p>
      <w:pPr>
        <w:pStyle w:val="BodyText"/>
        <w:suppressLineNumbers/>
        <w:spacing w:lineRule="exact" w:line="40" w:before="0" w:after="0"/>
        <w:sectPr>
          <w:headerReference w:type="default" r:id="rId9"/>
          <w:footerReference w:type="default" r:id="rId10"/>
          <w:pgSz w:h="15840" w:w="12240"/>
          <w:pgMar w:bottom="1440" w:left="1440" w:right="1440" w:top="1440" w:header="720" w:footer="576"/>
        </w:sectPr>
      </w:pPr>
    </w:p>
    <w:p>
      <w:pPr>
        <w:suppressLineNumbers/>
        <w:spacing w:before="0" w:after="0"/>
        <w:jc w:val="center"/>
      </w:pPr>
      <w:r>
        <w:rPr>
          <w:rFonts w:ascii="Times New Roman" w:hAnsi="Times New Roman" w:cs="Times New Roman" w:eastAsia="Times New Roman"/>
          <w:b/>
          <w:i w:val="0"/>
          <w:smallCaps w:val="0"/>
          <w:sz w:val="26"/>
        </w:rPr>
        <w:t>[STATE] LEGISLATURE</w:t>
      </w:r>
    </w:p>
    <w:p>
      <w:pPr>
        <w:suppressLineNumbers/>
        <w:spacing w:before="0" w:after="280"/>
        <w:jc w:val="center"/>
      </w:pPr>
      <w:r>
        <w:rPr>
          <w:rFonts w:ascii="Times New Roman" w:hAnsi="Times New Roman" w:cs="Times New Roman" w:eastAsia="Times New Roman"/>
          <w:b w:val="0"/>
          <w:i w:val="0"/>
          <w:smallCaps w:val="0"/>
          <w:sz w:val="24"/>
        </w:rPr>
        <w:t>[YEAR] REGULAR SESSION</w:t>
      </w:r>
    </w:p>
    <w:p>
      <w:pPr>
        <w:suppressLineNumbers/>
        <w:pBdr>
          <w:bottom w:val="single" w:sz="8" w:space="6" w:color="000000"/>
        </w:pBdr>
        <w:spacing w:before="0" w:after="280"/>
        <w:jc w:val="center"/>
      </w:pPr>
      <w:r>
        <w:rPr>
          <w:rFonts w:ascii="Times New Roman" w:hAnsi="Times New Roman" w:cs="Times New Roman" w:eastAsia="Times New Roman"/>
          <w:b/>
          <w:i w:val="0"/>
          <w:smallCaps w:val="0"/>
          <w:sz w:val="32"/>
        </w:rPr>
        <w:t>[HOUSE / SENATE] BILL NO. [____]</w:t>
      </w:r>
    </w:p>
    <w:p>
      <w:pPr>
        <w:suppressLineNumbers/>
        <w:spacing w:before="160" w:after="80"/>
        <w:jc w:val="center"/>
      </w:pPr>
      <w:r>
        <w:rPr>
          <w:rFonts w:ascii="Times New Roman" w:hAnsi="Times New Roman" w:cs="Times New Roman" w:eastAsia="Times New Roman"/>
          <w:b w:val="0"/>
          <w:i w:val="0"/>
          <w:smallCaps w:val="0"/>
          <w:sz w:val="22"/>
        </w:rPr>
        <w:t>INTRODUCED BY [________]</w:t>
      </w:r>
    </w:p>
    <w:p>
      <w:pPr>
        <w:suppressLineNumbers/>
        <w:pBdr>
          <w:bottom w:val="single" w:sz="8" w:space="6" w:color="000000"/>
        </w:pBdr>
        <w:spacing w:before="0" w:after="280"/>
        <w:jc w:val="center"/>
      </w:pPr>
      <w:r>
        <w:rPr>
          <w:rFonts w:ascii="Times New Roman" w:hAnsi="Times New Roman" w:cs="Times New Roman" w:eastAsia="Times New Roman"/>
          <w:b w:val="0"/>
          <w:i w:val="0"/>
          <w:smallCaps w:val="0"/>
          <w:sz w:val="22"/>
        </w:rPr>
        <w:t>[Date of introduction]  ·  Referred to the Committee on [________]</w:t>
      </w:r>
    </w:p>
    <w:p>
      <w:pPr>
        <w:suppressLineNumbers/>
        <w:spacing w:before="280" w:after="280"/>
        <w:jc w:val="both"/>
      </w:pPr>
      <w:r>
        <w:rPr>
          <w:rFonts w:ascii="Times New Roman" w:hAnsi="Times New Roman" w:cs="Times New Roman" w:eastAsia="Times New Roman"/>
          <w:b/>
          <w:sz w:val="24"/>
        </w:rPr>
        <w:t xml:space="preserve">AN ACT </w:t>
      </w:r>
      <w:r>
        <w:rPr>
          <w:rFonts w:ascii="Times New Roman" w:hAnsi="Times New Roman" w:cs="Times New Roman" w:eastAsia="Times New Roman"/>
          <w:sz w:val="24"/>
        </w:rPr>
        <w:t>relating to peaceful contact zones; providing for the certification of zones; limiting the use of state resources to seize craft or non-human intelligences in a zone; and establishing an offense and a civil action for interference.</w:t>
      </w:r>
    </w:p>
    <w:p>
      <w:pPr>
        <w:suppressLineNumbers/>
        <w:spacing w:before="0" w:after="0"/>
      </w:pPr>
      <w:r>
        <w:br w:type="page"/>
      </w:r>
    </w:p>
    <w:p>
      <w:pPr>
        <w:spacing w:lineRule="exact" w:line="480" w:before="0" w:after="0"/>
        <w:ind w:firstLine="720"/>
      </w:pPr>
      <w:r>
        <w:rPr>
          <w:rFonts w:ascii="Times New Roman" w:hAnsi="Times New Roman" w:cs="Times New Roman" w:eastAsia="Times New Roman"/>
          <w:b/>
          <w:i w:val="0"/>
          <w:sz w:val="24"/>
        </w:rPr>
        <w:t>BE IT ENACTED BY THE LEGISLATURE OF THE STATE OF [________]:</w:t>
      </w:r>
    </w:p>
    <w:p>
      <w:pPr>
        <w:pStyle w:val="BodyText"/>
        <w:keepNext/>
        <w:spacing w:lineRule="exact" w:line="480" w:before="0" w:after="0"/>
        <w:ind w:firstLine="720"/>
        <w:jc w:val="both"/>
      </w:pPr>
      <w:r>
        <w:rPr>
          <w:bCs/>
          <w:rFonts w:ascii="Times New Roman" w:hAnsi="Times New Roman" w:cs="Times New Roman" w:eastAsia="Times New Roman"/>
          <w:b/>
          <w:smallCaps w:val="0"/>
          <w:sz w:val="24"/>
        </w:rPr>
        <w:t xml:space="preserve">SECTION 1. SHORT TITLE.</w:t>
      </w:r>
    </w:p>
    <w:p>
      <w:pPr>
        <w:spacing w:lineRule="exact" w:line="480" w:before="0" w:after="0"/>
        <w:ind w:firstLine="720"/>
        <w:jc w:val="both"/>
      </w:pPr>
      <w:r/>
      <w:r>
        <w:t xml:space="preserve">This act may be cited as the</w:t>
      </w:r>
      <w:r>
        <w:t xml:space="preserve"> </w:t>
      </w:r>
      <w:r>
        <w:t xml:space="preserve">“</w:t>
      </w:r>
      <w:r>
        <w:t xml:space="preserve">[State] Peaceful Contact Zones Act.</w:t>
      </w:r>
      <w:r>
        <w:t xml:space="preserve">”</w:t>
      </w:r>
    </w:p>
    <w:p>
      <w:pPr>
        <w:pStyle w:val="BodyText"/>
        <w:keepNext/>
        <w:spacing w:lineRule="exact" w:line="480" w:before="0" w:after="0"/>
        <w:ind w:firstLine="720"/>
        <w:jc w:val="both"/>
      </w:pPr>
      <w:r>
        <w:rPr>
          <w:bCs/>
          <w:rFonts w:ascii="Times New Roman" w:hAnsi="Times New Roman" w:cs="Times New Roman" w:eastAsia="Times New Roman"/>
          <w:b/>
          <w:smallCaps w:val="0"/>
          <w:sz w:val="24"/>
        </w:rPr>
        <w:t xml:space="preserve">SECTION 2. PURPOSE.</w:t>
      </w:r>
    </w:p>
    <w:p>
      <w:pPr>
        <w:spacing w:lineRule="exact" w:line="480" w:before="0" w:after="0"/>
        <w:ind w:firstLine="720"/>
        <w:jc w:val="both"/>
      </w:pPr>
      <w:r/>
      <w:r>
        <w:t xml:space="preserve">The purpose of this act is to protect places where persons may meet peacefully with</w:t>
      </w:r>
      <w:r>
        <w:t xml:space="preserve"> </w:t>
      </w:r>
      <w:r>
        <w:t xml:space="preserve">non-human intelligences, to protect participants and visitors from interference by private persons, and to direct</w:t>
      </w:r>
      <w:r>
        <w:t xml:space="preserve"> </w:t>
      </w:r>
      <w:r>
        <w:t xml:space="preserve">the conduct of the officers and agencies of this State, within the limits of the Constitution and laws of the United</w:t>
      </w:r>
      <w:r>
        <w:t xml:space="preserve"> </w:t>
      </w:r>
      <w:r>
        <w:t xml:space="preserve">States.</w:t>
      </w:r>
    </w:p>
    <w:p>
      <w:pPr>
        <w:pStyle w:val="BodyText"/>
        <w:keepNext/>
        <w:spacing w:lineRule="exact" w:line="480" w:before="0" w:after="0"/>
        <w:ind w:firstLine="720"/>
        <w:jc w:val="both"/>
      </w:pPr>
      <w:r>
        <w:rPr>
          <w:bCs/>
          <w:rFonts w:ascii="Times New Roman" w:hAnsi="Times New Roman" w:cs="Times New Roman" w:eastAsia="Times New Roman"/>
          <w:b/>
          <w:smallCaps w:val="0"/>
          <w:sz w:val="24"/>
        </w:rPr>
        <w:t xml:space="preserve">SECTION 3. DEFINITIONS.</w:t>
      </w:r>
    </w:p>
    <w:p>
      <w:pPr>
        <w:spacing w:lineRule="exact" w:line="480" w:before="0" w:after="0"/>
        <w:ind w:firstLine="720"/>
        <w:jc w:val="both"/>
      </w:pPr>
      <w:r/>
      <w:r>
        <w:t xml:space="preserve">In this act:</w:t>
      </w:r>
    </w:p>
    <w:p>
      <w:pPr>
        <w:pStyle w:val="BodyText"/>
        <w:spacing w:lineRule="exact" w:line="480" w:before="0" w:after="0"/>
        <w:ind w:left="720" w:firstLine="720"/>
        <w:jc w:val="both"/>
      </w:pPr>
      <w:r>
        <w:t xml:space="preserve">(1)</w:t>
      </w:r>
      <w:r>
        <w:t xml:space="preserve"> </w:t>
      </w:r>
      <w:r>
        <w:t xml:space="preserve">“</w:t>
      </w:r>
      <w:r>
        <w:t xml:space="preserve">Non-human intelligence</w:t>
      </w:r>
      <w:r>
        <w:t xml:space="preserve">”</w:t>
      </w:r>
      <w:r>
        <w:t xml:space="preserve"> </w:t>
      </w:r>
      <w:r>
        <w:t xml:space="preserve">means any sentient intelligent non-human lifeform regardless of nature or ultimate</w:t>
      </w:r>
      <w:r>
        <w:t xml:space="preserve"> </w:t>
      </w:r>
      <w:r>
        <w:t xml:space="preserve">origin.</w:t>
      </w:r>
    </w:p>
    <w:p>
      <w:pPr>
        <w:pStyle w:val="BodyText"/>
        <w:spacing w:lineRule="exact" w:line="480" w:before="0" w:after="0"/>
        <w:ind w:left="720" w:firstLine="720"/>
        <w:jc w:val="both"/>
      </w:pPr>
      <w:r>
        <w:t xml:space="preserve">(2)</w:t>
      </w:r>
      <w:r>
        <w:t xml:space="preserve"> </w:t>
      </w:r>
      <w:r>
        <w:t xml:space="preserve">“</w:t>
      </w:r>
      <w:r>
        <w:t xml:space="preserve">Craft</w:t>
      </w:r>
      <w:r>
        <w:t xml:space="preserve">”</w:t>
      </w:r>
      <w:r>
        <w:t xml:space="preserve"> </w:t>
      </w:r>
      <w:r>
        <w:t xml:space="preserve">means any vehicle, object, or device that is operated or occupied by, or reasonably believed to be</w:t>
      </w:r>
      <w:r>
        <w:t xml:space="preserve"> </w:t>
      </w:r>
      <w:r>
        <w:t xml:space="preserve">associated with, a non-human intelligence.</w:t>
      </w:r>
    </w:p>
    <w:p>
      <w:pPr>
        <w:pStyle w:val="BodyText"/>
        <w:spacing w:lineRule="exact" w:line="480" w:before="0" w:after="0"/>
        <w:ind w:left="720" w:firstLine="720"/>
        <w:jc w:val="both"/>
      </w:pPr>
      <w:r>
        <w:t xml:space="preserve">(3)</w:t>
      </w:r>
      <w:r>
        <w:t xml:space="preserve"> </w:t>
      </w:r>
      <w:r>
        <w:t xml:space="preserve">“</w:t>
      </w:r>
      <w:r>
        <w:t xml:space="preserve">Zone</w:t>
      </w:r>
      <w:r>
        <w:t xml:space="preserve">”</w:t>
      </w:r>
      <w:r>
        <w:t xml:space="preserve"> </w:t>
      </w:r>
      <w:r>
        <w:t xml:space="preserve">means land certified as a peaceful contact zone under Section 4.</w:t>
      </w:r>
    </w:p>
    <w:p>
      <w:pPr>
        <w:pStyle w:val="BodyText"/>
        <w:spacing w:lineRule="exact" w:line="480" w:before="0" w:after="0"/>
        <w:ind w:left="720" w:firstLine="720"/>
        <w:jc w:val="both"/>
      </w:pPr>
      <w:r>
        <w:t xml:space="preserve">(4)</w:t>
      </w:r>
      <w:r>
        <w:t xml:space="preserve"> </w:t>
      </w:r>
      <w:r>
        <w:t xml:space="preserve">“</w:t>
      </w:r>
      <w:r>
        <w:t xml:space="preserve">Host</w:t>
      </w:r>
      <w:r>
        <w:t xml:space="preserve">”</w:t>
      </w:r>
      <w:r>
        <w:t xml:space="preserve"> </w:t>
      </w:r>
      <w:r>
        <w:t xml:space="preserve">means the owner or long-term lessee of a zone who applies for its certification.</w:t>
      </w:r>
    </w:p>
    <w:p>
      <w:pPr>
        <w:pStyle w:val="BodyText"/>
        <w:spacing w:lineRule="exact" w:line="480" w:before="0" w:after="0"/>
        <w:ind w:left="720" w:firstLine="720"/>
        <w:jc w:val="both"/>
      </w:pPr>
      <w:r>
        <w:t xml:space="preserve">(5)</w:t>
      </w:r>
      <w:r>
        <w:t xml:space="preserve"> </w:t>
      </w:r>
      <w:r>
        <w:t xml:space="preserve">“</w:t>
      </w:r>
      <w:r>
        <w:t xml:space="preserve">Private person</w:t>
      </w:r>
      <w:r>
        <w:t xml:space="preserve">”</w:t>
      </w:r>
      <w:r>
        <w:t xml:space="preserve"> </w:t>
      </w:r>
      <w:r>
        <w:t xml:space="preserve">means any person other than an officer, employee, or agent of the United States acting within</w:t>
      </w:r>
      <w:r>
        <w:t xml:space="preserve"> </w:t>
      </w:r>
      <w:r>
        <w:t xml:space="preserve">the scope of federal authority.</w:t>
      </w:r>
    </w:p>
    <w:p>
      <w:pPr>
        <w:pStyle w:val="BodyText"/>
        <w:spacing w:lineRule="exact" w:line="480" w:before="0" w:after="0"/>
        <w:ind w:left="720" w:firstLine="720"/>
        <w:jc w:val="both"/>
      </w:pPr>
      <w:r>
        <w:t xml:space="preserve">(6)</w:t>
      </w:r>
      <w:r>
        <w:t xml:space="preserve"> </w:t>
      </w:r>
      <w:r>
        <w:t xml:space="preserve">“</w:t>
      </w:r>
      <w:r>
        <w:t xml:space="preserve">State officer</w:t>
      </w:r>
      <w:r>
        <w:t xml:space="preserve">”</w:t>
      </w:r>
      <w:r>
        <w:t xml:space="preserve"> </w:t>
      </w:r>
      <w:r>
        <w:t xml:space="preserve">means any officer, employee, or agent of this State or of any political subdivision of this</w:t>
      </w:r>
      <w:r>
        <w:t xml:space="preserve"> </w:t>
      </w:r>
      <w:r>
        <w:t xml:space="preserve">State, including law enforcement officers.</w:t>
      </w:r>
    </w:p>
    <w:p>
      <w:pPr>
        <w:pStyle w:val="BodyText"/>
        <w:keepNext/>
        <w:spacing w:lineRule="exact" w:line="480" w:before="0" w:after="0"/>
        <w:ind w:firstLine="720"/>
        <w:jc w:val="both"/>
      </w:pPr>
      <w:r>
        <w:rPr>
          <w:bCs/>
          <w:rFonts w:ascii="Times New Roman" w:hAnsi="Times New Roman" w:cs="Times New Roman" w:eastAsia="Times New Roman"/>
          <w:b/>
          <w:smallCaps w:val="0"/>
          <w:sz w:val="24"/>
        </w:rPr>
        <w:t xml:space="preserve">SECTION 4. CERTIFICATION.</w:t>
      </w:r>
    </w:p>
    <w:p>
      <w:pPr>
        <w:pStyle w:val="BodyText"/>
        <w:spacing w:lineRule="exact" w:line="480" w:before="0" w:after="0"/>
        <w:ind w:left="0" w:firstLine="720"/>
        <w:jc w:val="both"/>
      </w:pPr>
      <w:r>
        <w:t xml:space="preserve">(a) The [Department of ___] shall certify land as a peaceful contact zone on application of a host that shows that:</w:t>
      </w:r>
    </w:p>
    <w:p>
      <w:pPr>
        <w:pStyle w:val="BodyText"/>
        <w:spacing w:lineRule="exact" w:line="480" w:before="0" w:after="0"/>
        <w:ind w:left="720" w:firstLine="720"/>
        <w:jc w:val="both"/>
      </w:pPr>
      <w:r>
        <w:t xml:space="preserve">(1) the host owns the land or holds a lease of it for not less than [10] years;</w:t>
      </w:r>
    </w:p>
    <w:p>
      <w:pPr>
        <w:pStyle w:val="BodyText"/>
        <w:spacing w:lineRule="exact" w:line="480" w:before="0" w:after="0"/>
        <w:ind w:left="720" w:firstLine="720"/>
        <w:jc w:val="both"/>
      </w:pPr>
      <w:r>
        <w:t xml:space="preserve">(2) the host has adopted and published a code of conduct that prohibits weapons, capture, the taking of samples or</w:t>
      </w:r>
      <w:r>
        <w:t xml:space="preserve"> </w:t>
      </w:r>
      <w:r>
        <w:t xml:space="preserve">data without consent, and any negotiation on behalf of any government;</w:t>
      </w:r>
    </w:p>
    <w:p>
      <w:pPr>
        <w:pStyle w:val="BodyText"/>
        <w:spacing w:lineRule="exact" w:line="480" w:before="0" w:after="0"/>
        <w:ind w:left="720" w:firstLine="720"/>
        <w:jc w:val="both"/>
      </w:pPr>
      <w:r>
        <w:t xml:space="preserve">(3) the host maintains continuous observation and recording of the land, with records preserved for not less than</w:t>
      </w:r>
      <w:r>
        <w:t xml:space="preserve"> </w:t>
      </w:r>
      <w:r>
        <w:t xml:space="preserve">[5] years;</w:t>
      </w:r>
    </w:p>
    <w:p>
      <w:pPr>
        <w:pStyle w:val="BodyText"/>
        <w:spacing w:lineRule="exact" w:line="480" w:before="0" w:after="0"/>
        <w:ind w:left="720" w:firstLine="720"/>
        <w:jc w:val="both"/>
      </w:pPr>
      <w:r>
        <w:t xml:space="preserve">(4) the host has given written notice of the zone to the Federal Aviation Administration and the United States</w:t>
      </w:r>
      <w:r>
        <w:t xml:space="preserve"> </w:t>
      </w:r>
      <w:r>
        <w:t xml:space="preserve">Department of Defense; and</w:t>
      </w:r>
    </w:p>
    <w:p>
      <w:pPr>
        <w:pStyle w:val="BodyText"/>
        <w:spacing w:lineRule="exact" w:line="480" w:before="0" w:after="0"/>
        <w:ind w:left="720" w:firstLine="720"/>
        <w:jc w:val="both"/>
      </w:pPr>
      <w:r>
        <w:t xml:space="preserve">(5) the land is not within [__] miles of a military installation.</w:t>
      </w:r>
    </w:p>
    <w:p>
      <w:pPr>
        <w:pStyle w:val="BodyText"/>
        <w:spacing w:lineRule="exact" w:line="480" w:before="0" w:after="0"/>
        <w:ind w:left="0" w:firstLine="720"/>
        <w:jc w:val="both"/>
      </w:pPr>
      <w:r>
        <w:t xml:space="preserve">(b) The Department shall act on an application within [90] days. Certification lasts [5] years and may be renewed.</w:t>
      </w:r>
      <w:r>
        <w:t xml:space="preserve"> </w:t>
      </w:r>
      <w:r>
        <w:t xml:space="preserve">The Department may revoke a certification after notice and hearing if the host ceases to meet the requirements of</w:t>
      </w:r>
      <w:r>
        <w:t xml:space="preserve"> </w:t>
      </w:r>
      <w:r>
        <w:t xml:space="preserve">subsection (a).</w:t>
      </w:r>
    </w:p>
    <w:p>
      <w:pPr>
        <w:pStyle w:val="BodyText"/>
        <w:spacing w:lineRule="exact" w:line="480" w:before="0" w:after="0"/>
        <w:ind w:left="0" w:firstLine="720"/>
        <w:jc w:val="both"/>
      </w:pPr>
      <w:r>
        <w:t xml:space="preserve">(c) The Department shall publish a list of certified zones and their boundaries.</w:t>
      </w:r>
    </w:p>
    <w:p>
      <w:pPr>
        <w:pStyle w:val="BodyText"/>
        <w:keepNext/>
        <w:spacing w:lineRule="exact" w:line="480" w:before="0" w:after="0"/>
        <w:ind w:firstLine="720"/>
        <w:jc w:val="both"/>
      </w:pPr>
      <w:r>
        <w:rPr>
          <w:bCs/>
          <w:rFonts w:ascii="Times New Roman" w:hAnsi="Times New Roman" w:cs="Times New Roman" w:eastAsia="Times New Roman"/>
          <w:b/>
          <w:smallCaps w:val="0"/>
          <w:sz w:val="24"/>
        </w:rPr>
        <w:t xml:space="preserve">SECTION 5. CONDUCT OF STATE OFFICERS.</w:t>
      </w:r>
    </w:p>
    <w:p>
      <w:pPr>
        <w:pStyle w:val="BodyText"/>
        <w:spacing w:lineRule="exact" w:line="480" w:before="0" w:after="0"/>
        <w:ind w:left="0" w:firstLine="720"/>
        <w:jc w:val="both"/>
      </w:pPr>
      <w:r>
        <w:t xml:space="preserve">(a) No state officer shall use state resources, personnel, or facilities to locate, pursue, seize, disable, or</w:t>
      </w:r>
      <w:r>
        <w:t xml:space="preserve"> </w:t>
      </w:r>
      <w:r>
        <w:t xml:space="preserve">detain a craft or non-human intelligence within a zone, or to assist any other person in doing so, except to the</w:t>
      </w:r>
      <w:r>
        <w:t xml:space="preserve"> </w:t>
      </w:r>
      <w:r>
        <w:t xml:space="preserve">extent necessary to prevent an imminent threat of death or serious bodily injury to any person.</w:t>
      </w:r>
    </w:p>
    <w:p>
      <w:pPr>
        <w:pStyle w:val="BodyText"/>
        <w:spacing w:lineRule="exact" w:line="480" w:before="0" w:after="0"/>
        <w:ind w:left="0" w:firstLine="720"/>
        <w:jc w:val="both"/>
      </w:pPr>
      <w:r>
        <w:t xml:space="preserve">(b) No state officer shall share with any person non-public information about the location, activities, or</w:t>
      </w:r>
      <w:r>
        <w:t xml:space="preserve"> </w:t>
      </w:r>
      <w:r>
        <w:t xml:space="preserve">participants of a zone for the purpose of enabling conduct described in subsection (a), unless required by a court</w:t>
      </w:r>
      <w:r>
        <w:t xml:space="preserve"> </w:t>
      </w:r>
      <w:r>
        <w:t xml:space="preserve">order or by federal law that validly binds the State.</w:t>
      </w:r>
    </w:p>
    <w:p>
      <w:pPr>
        <w:pStyle w:val="BodyText"/>
        <w:spacing w:lineRule="exact" w:line="480" w:before="0" w:after="0"/>
        <w:ind w:left="0" w:firstLine="720"/>
        <w:jc w:val="both"/>
      </w:pPr>
      <w:r>
        <w:t xml:space="preserve">(c) Nothing in this section prohibits a state officer from responding to an emergency, enforcing the criminal laws of</w:t>
      </w:r>
      <w:r>
        <w:t xml:space="preserve"> </w:t>
      </w:r>
      <w:r>
        <w:t xml:space="preserve">this State against private persons, or complying with federal law that validly binds the State.</w:t>
      </w:r>
    </w:p>
    <w:p>
      <w:pPr>
        <w:pStyle w:val="BodyText"/>
        <w:keepNext/>
        <w:spacing w:lineRule="exact" w:line="480" w:before="0" w:after="0"/>
        <w:ind w:firstLine="720"/>
        <w:jc w:val="both"/>
      </w:pPr>
      <w:r>
        <w:rPr>
          <w:bCs/>
          <w:rFonts w:ascii="Times New Roman" w:hAnsi="Times New Roman" w:cs="Times New Roman" w:eastAsia="Times New Roman"/>
          <w:b/>
          <w:smallCaps w:val="0"/>
          <w:sz w:val="24"/>
        </w:rPr>
        <w:t xml:space="preserve">SECTION 6. INTERFERENCE BY PRIVATE PERSONS.</w:t>
      </w:r>
    </w:p>
    <w:p>
      <w:pPr>
        <w:pStyle w:val="BodyText"/>
        <w:spacing w:lineRule="exact" w:line="480" w:before="0" w:after="0"/>
        <w:ind w:left="0" w:firstLine="720"/>
        <w:jc w:val="both"/>
      </w:pPr>
      <w:r>
        <w:t xml:space="preserve">(a) A private person commits the offense of interference with a peaceful contact zone if the person knowingly:</w:t>
      </w:r>
    </w:p>
    <w:p>
      <w:pPr>
        <w:pStyle w:val="BodyText"/>
        <w:spacing w:lineRule="exact" w:line="480" w:before="0" w:after="0"/>
        <w:ind w:left="720" w:firstLine="720"/>
        <w:jc w:val="both"/>
      </w:pPr>
      <w:r>
        <w:t xml:space="preserve">(1) enters a zone without the host’s permission for the purpose of seizing, harming, or harassing a craft, a</w:t>
      </w:r>
      <w:r>
        <w:t xml:space="preserve"> </w:t>
      </w:r>
      <w:r>
        <w:t xml:space="preserve">non-human intelligence, or any participant;</w:t>
      </w:r>
    </w:p>
    <w:p>
      <w:pPr>
        <w:pStyle w:val="BodyText"/>
        <w:spacing w:lineRule="exact" w:line="480" w:before="0" w:after="0"/>
        <w:ind w:left="720" w:firstLine="720"/>
        <w:jc w:val="both"/>
      </w:pPr>
      <w:r>
        <w:t xml:space="preserve">(2) uses force against, disables, or damages a craft within a zone or the airspace immediately above it; or</w:t>
      </w:r>
    </w:p>
    <w:p>
      <w:pPr>
        <w:pStyle w:val="BodyText"/>
        <w:spacing w:lineRule="exact" w:line="480" w:before="0" w:after="0"/>
        <w:ind w:left="720" w:firstLine="720"/>
        <w:jc w:val="both"/>
      </w:pPr>
      <w:r>
        <w:t xml:space="preserve">(3) seizes, detains, transports, or restrains a non-human intelligence within a zone, or removes one from a zone</w:t>
      </w:r>
      <w:r>
        <w:t xml:space="preserve"> </w:t>
      </w:r>
      <w:r>
        <w:t xml:space="preserve">against its will.</w:t>
      </w:r>
    </w:p>
    <w:p>
      <w:pPr>
        <w:pStyle w:val="BodyText"/>
        <w:spacing w:lineRule="exact" w:line="480" w:before="0" w:after="0"/>
        <w:ind w:left="0" w:firstLine="720"/>
        <w:jc w:val="both"/>
      </w:pPr>
      <w:r>
        <w:t xml:space="preserve">(b) An offense under subsection (a)(1) is a [misdemeanor]. An offense under subsection (a)(2) or (3) is a [felony of</w:t>
      </w:r>
      <w:r>
        <w:t xml:space="preserve"> </w:t>
      </w:r>
      <w:r>
        <w:t xml:space="preserve">the ___ degree].</w:t>
      </w:r>
    </w:p>
    <w:p>
      <w:pPr>
        <w:pStyle w:val="BodyText"/>
        <w:spacing w:lineRule="exact" w:line="480" w:before="0" w:after="0"/>
        <w:ind w:left="0" w:firstLine="720"/>
        <w:jc w:val="both"/>
      </w:pPr>
      <w:r>
        <w:t xml:space="preserve">(c) It is an affirmative defense that the person acted to prevent an imminent threat of death or serious bodily</w:t>
      </w:r>
      <w:r>
        <w:t xml:space="preserve"> </w:t>
      </w:r>
      <w:r>
        <w:t xml:space="preserve">injury to any person.</w:t>
      </w:r>
    </w:p>
    <w:p>
      <w:pPr>
        <w:pStyle w:val="BodyText"/>
        <w:spacing w:lineRule="exact" w:line="480" w:before="0" w:after="0"/>
        <w:ind w:left="0" w:firstLine="720"/>
        <w:jc w:val="both"/>
      </w:pPr>
      <w:r>
        <w:t xml:space="preserve">(d) This section does not apply to an officer, employee, or agent of the United States acting within the scope of</w:t>
      </w:r>
      <w:r>
        <w:t xml:space="preserve"> </w:t>
      </w:r>
      <w:r>
        <w:t xml:space="preserve">federal authority.</w:t>
      </w:r>
    </w:p>
    <w:p>
      <w:pPr>
        <w:pStyle w:val="BodyText"/>
        <w:keepNext/>
        <w:spacing w:lineRule="exact" w:line="480" w:before="0" w:after="0"/>
        <w:ind w:firstLine="720"/>
        <w:jc w:val="both"/>
      </w:pPr>
      <w:r>
        <w:rPr>
          <w:bCs/>
          <w:rFonts w:ascii="Times New Roman" w:hAnsi="Times New Roman" w:cs="Times New Roman" w:eastAsia="Times New Roman"/>
          <w:b/>
          <w:smallCaps w:val="0"/>
          <w:sz w:val="24"/>
        </w:rPr>
        <w:t xml:space="preserve">SECTION 7. CIVIL ACTION.</w:t>
      </w:r>
    </w:p>
    <w:p>
      <w:pPr>
        <w:spacing w:lineRule="exact" w:line="480" w:before="0" w:after="0"/>
        <w:ind w:firstLine="720"/>
        <w:jc w:val="both"/>
      </w:pPr>
      <w:r/>
      <w:r>
        <w:t xml:space="preserve">A host, or any person lawfully present in a zone, who is injured by a violation of</w:t>
      </w:r>
      <w:r>
        <w:t xml:space="preserve"> </w:t>
      </w:r>
      <w:r>
        <w:t xml:space="preserve">Section 6 may bring a civil action against the violator for injunctive relief, actual damages, punitive damages</w:t>
      </w:r>
      <w:r>
        <w:t xml:space="preserve"> </w:t>
      </w:r>
      <w:r>
        <w:t xml:space="preserve">where the violation was willful, and reasonable attorney’s fees. A next friend may bring an action for injunctive</w:t>
      </w:r>
      <w:r>
        <w:t xml:space="preserve"> </w:t>
      </w:r>
      <w:r>
        <w:t xml:space="preserve">relief on behalf of a non-human intelligence removed from a zone in violation of Section 6.</w:t>
      </w:r>
    </w:p>
    <w:p>
      <w:pPr>
        <w:pStyle w:val="BodyText"/>
        <w:keepNext/>
        <w:spacing w:lineRule="exact" w:line="480" w:before="0" w:after="0"/>
        <w:ind w:firstLine="720"/>
        <w:jc w:val="both"/>
      </w:pPr>
      <w:r>
        <w:rPr>
          <w:bCs/>
          <w:rFonts w:ascii="Times New Roman" w:hAnsi="Times New Roman" w:cs="Times New Roman" w:eastAsia="Times New Roman"/>
          <w:b/>
          <w:smallCaps w:val="0"/>
          <w:sz w:val="24"/>
        </w:rPr>
        <w:t xml:space="preserve">SECTION 8. HABEAS CORPUS.</w:t>
      </w:r>
    </w:p>
    <w:p>
      <w:pPr>
        <w:spacing w:lineRule="exact" w:line="480" w:before="0" w:after="0"/>
        <w:ind w:firstLine="720"/>
        <w:jc w:val="both"/>
      </w:pPr>
      <w:r/>
      <w:r>
        <w:t xml:space="preserve">Any person may apply on behalf of a non-human intelligence restrained in this State by a</w:t>
      </w:r>
      <w:r>
        <w:t xml:space="preserve"> </w:t>
      </w:r>
      <w:r>
        <w:t xml:space="preserve">private person for a writ of habeas corpus under [cite the State’s habeas statute], and the court shall not deny the</w:t>
      </w:r>
      <w:r>
        <w:t xml:space="preserve"> </w:t>
      </w:r>
      <w:r>
        <w:t xml:space="preserve">application on the ground that the person restrained is not human without first holding a hearing on its</w:t>
      </w:r>
      <w:r>
        <w:t xml:space="preserve"> </w:t>
      </w:r>
      <w:r>
        <w:t xml:space="preserve">capacities.</w:t>
      </w:r>
    </w:p>
    <w:p>
      <w:pPr>
        <w:pStyle w:val="BodyText"/>
        <w:keepNext/>
        <w:spacing w:lineRule="exact" w:line="480" w:before="0" w:after="0"/>
        <w:ind w:firstLine="720"/>
        <w:jc w:val="both"/>
      </w:pPr>
      <w:r>
        <w:rPr>
          <w:bCs/>
          <w:rFonts w:ascii="Times New Roman" w:hAnsi="Times New Roman" w:cs="Times New Roman" w:eastAsia="Times New Roman"/>
          <w:b/>
          <w:smallCaps w:val="0"/>
          <w:sz w:val="24"/>
        </w:rPr>
        <w:t xml:space="preserve">SECTION 9. RULES OF CONSTRUCTION.</w:t>
      </w:r>
    </w:p>
    <w:p>
      <w:pPr>
        <w:spacing w:lineRule="exact" w:line="480" w:before="0" w:after="0"/>
        <w:ind w:firstLine="720"/>
        <w:jc w:val="both"/>
      </w:pPr>
      <w:r/>
      <w:r>
        <w:t xml:space="preserve">Nothing in this act:</w:t>
      </w:r>
    </w:p>
    <w:p>
      <w:pPr>
        <w:pStyle w:val="BodyText"/>
        <w:spacing w:lineRule="exact" w:line="480" w:before="0" w:after="0"/>
        <w:ind w:left="720" w:firstLine="720"/>
        <w:jc w:val="both"/>
      </w:pPr>
      <w:r>
        <w:t xml:space="preserve">(1) regulates the navigable airspace or the operation of aircraft;</w:t>
      </w:r>
    </w:p>
    <w:p>
      <w:pPr>
        <w:pStyle w:val="BodyText"/>
        <w:spacing w:lineRule="exact" w:line="480" w:before="0" w:after="0"/>
        <w:ind w:left="720" w:firstLine="720"/>
        <w:jc w:val="both"/>
      </w:pPr>
      <w:r>
        <w:t xml:space="preserve">(2) applies to an officer, employee, or agent of the United States acting within the scope of federal authority;</w:t>
      </w:r>
    </w:p>
    <w:p>
      <w:pPr>
        <w:pStyle w:val="BodyText"/>
        <w:spacing w:lineRule="exact" w:line="480" w:before="0" w:after="0"/>
        <w:ind w:left="720" w:firstLine="720"/>
        <w:jc w:val="both"/>
      </w:pPr>
      <w:r>
        <w:t xml:space="preserve">(3) recognizes any government or confers diplomatic status or immunity on any person; or</w:t>
      </w:r>
    </w:p>
    <w:p>
      <w:pPr>
        <w:pStyle w:val="BodyText"/>
        <w:spacing w:lineRule="exact" w:line="480" w:before="0" w:after="0"/>
        <w:ind w:left="720" w:firstLine="720"/>
        <w:jc w:val="both"/>
      </w:pPr>
      <w:r>
        <w:t xml:space="preserve">(4) determines the legal status of any non-human intelligence for any purpose other than this act.</w:t>
      </w:r>
    </w:p>
    <w:p>
      <w:pPr>
        <w:pStyle w:val="BodyText"/>
        <w:keepNext/>
        <w:spacing w:lineRule="exact" w:line="480" w:before="0" w:after="0"/>
        <w:ind w:firstLine="720"/>
        <w:jc w:val="both"/>
      </w:pPr>
      <w:r>
        <w:rPr>
          <w:bCs/>
          <w:rFonts w:ascii="Times New Roman" w:hAnsi="Times New Roman" w:cs="Times New Roman" w:eastAsia="Times New Roman"/>
          <w:b/>
          <w:smallCaps w:val="0"/>
          <w:sz w:val="24"/>
        </w:rPr>
        <w:t xml:space="preserve">SECTION 10. SEVERABILITY.</w:t>
      </w:r>
    </w:p>
    <w:p>
      <w:pPr>
        <w:spacing w:lineRule="exact" w:line="480" w:before="0" w:after="0"/>
        <w:ind w:firstLine="720"/>
        <w:jc w:val="both"/>
      </w:pPr>
      <w:r/>
      <w:r>
        <w:t xml:space="preserve">If any provision of this act or its application to any person or circumstance is held</w:t>
      </w:r>
      <w:r>
        <w:t xml:space="preserve"> </w:t>
      </w:r>
      <w:r>
        <w:t xml:space="preserve">invalid, the invalidity does not affect other provisions or applications that can be given effect without the</w:t>
      </w:r>
      <w:r>
        <w:t xml:space="preserve"> </w:t>
      </w:r>
      <w:r>
        <w:t xml:space="preserve">invalid provision or application.</w:t>
      </w:r>
    </w:p>
    <w:p>
      <w:pPr>
        <w:pStyle w:val="BodyText"/>
        <w:suppressLineNumbers/>
        <w:spacing w:lineRule="exact" w:line="40" w:before="0" w:after="0"/>
        <w:sectPr>
          <w:headerReference w:type="default" r:id="rId11"/>
          <w:footerReference w:type="default" r:id="rId12"/>
          <w:headerReference w:type="first" r:id="rId13"/>
          <w:footerReference w:type="first" r:id="rId14"/>
          <w:pgSz w:h="15840" w:w="12240"/>
          <w:pgMar w:bottom="1440" w:left="2160" w:right="1440" w:top="1440" w:header="720" w:footer="720"/>
          <w:lnNumType w:countBy="1" w:restart="newPage" w:distance="503"/>
          <w:pgNumType w:start="1"/>
          <w:titlePg/>
        </w:sectPr>
      </w:pPr>
    </w:p>
    <w:bookmarkStart w:id="24" w:name="drafting-notes"/>
    <w:p>
      <w:pPr>
        <w:pStyle w:val="Heading2"/>
        <w:suppressLineNumbers/>
      </w:pPr>
      <w:r>
        <w:t xml:space="preserve">Drafting notes</w:t>
      </w:r>
    </w:p>
    <w:p>
      <w:pPr>
        <w:pStyle w:val="Compact"/>
        <w:numPr>
          <w:ilvl w:val="0"/>
          <w:numId w:val="1001"/>
        </w:numPr>
        <w:suppressLineNumbers/>
      </w:pPr>
      <w:r>
        <w:rPr>
          <w:bCs/>
          <w:b/>
        </w:rPr>
        <w:t xml:space="preserve">Preemption.</w:t>
      </w:r>
      <w:r>
        <w:t xml:space="preserve"> </w:t>
      </w:r>
      <w:r>
        <w:t xml:space="preserve">Federal law occupies the field of airspace regulation (49 U.S.C. §40103). Section 9(1) and the</w:t>
      </w:r>
      <w:r>
        <w:t xml:space="preserve"> </w:t>
      </w:r>
      <w:r>
        <w:t xml:space="preserve">definition of</w:t>
      </w:r>
      <w:r>
        <w:t xml:space="preserve"> </w:t>
      </w:r>
      <w:r>
        <w:t xml:space="preserve">“</w:t>
      </w:r>
      <w:r>
        <w:t xml:space="preserve">zone</w:t>
      </w:r>
      <w:r>
        <w:t xml:space="preserve">”</w:t>
      </w:r>
      <w:r>
        <w:t xml:space="preserve"> </w:t>
      </w:r>
      <w:r>
        <w:t xml:space="preserve">as land keep the act within state power. Do not add altitude limits or flight rules.</w:t>
      </w:r>
    </w:p>
    <w:p>
      <w:pPr>
        <w:pStyle w:val="Compact"/>
        <w:numPr>
          <w:ilvl w:val="0"/>
          <w:numId w:val="1001"/>
        </w:numPr>
        <w:suppressLineNumbers/>
      </w:pPr>
      <w:r>
        <w:rPr>
          <w:bCs/>
          <w:b/>
        </w:rPr>
        <w:t xml:space="preserve">Federal officers.</w:t>
      </w:r>
      <w:r>
        <w:t xml:space="preserve"> </w:t>
      </w:r>
      <w:r>
        <w:t xml:space="preserve">Section 6(d) and Section 9(2) exclude federal officers acting within federal authority, which</w:t>
      </w:r>
      <w:r>
        <w:t xml:space="preserve"> </w:t>
      </w:r>
      <w:r>
        <w:t xml:space="preserve">avoids Supremacy Clause immunity problems. A contractor acting beyond any federal requirement or authorization is a</w:t>
      </w:r>
      <w:r>
        <w:t xml:space="preserve"> </w:t>
      </w:r>
      <w:r>
        <w:t xml:space="preserve">“</w:t>
      </w:r>
      <w:r>
        <w:t xml:space="preserve">private person</w:t>
      </w:r>
      <w:r>
        <w:t xml:space="preserve">”</w:t>
      </w:r>
      <w:r>
        <w:t xml:space="preserve"> </w:t>
      </w:r>
      <w:r>
        <w:t xml:space="preserve">(</w:t>
      </w:r>
      <w:hyperlink r:id="rId21">
        <w:r>
          <w:rPr>
            <w:rStyle w:val="Hyperlink"/>
          </w:rPr>
          <w:t xml:space="preserve">Issue A1</w:t>
        </w:r>
      </w:hyperlink>
      <w:r>
        <w:t xml:space="preserve"> </w:t>
      </w:r>
      <w:r>
        <w:t xml:space="preserve">§8,</w:t>
      </w:r>
      <w:r>
        <w:t xml:space="preserve"> </w:t>
      </w:r>
      <w:r>
        <w:rPr>
          <w:iCs/>
          <w:i/>
        </w:rPr>
        <w:t xml:space="preserve">Hencely</w:t>
      </w:r>
      <w:r>
        <w:t xml:space="preserve">).</w:t>
      </w:r>
    </w:p>
    <w:p>
      <w:pPr>
        <w:pStyle w:val="Compact"/>
        <w:numPr>
          <w:ilvl w:val="0"/>
          <w:numId w:val="1001"/>
        </w:numPr>
        <w:suppressLineNumbers/>
      </w:pPr>
      <w:r>
        <w:rPr>
          <w:bCs/>
          <w:b/>
        </w:rPr>
        <w:t xml:space="preserve">Information sharing.</w:t>
      </w:r>
      <w:r>
        <w:t xml:space="preserve"> </w:t>
      </w:r>
      <w:r>
        <w:t xml:space="preserve">Section 5(b) follows the model of state laws that limit cooperation with federal</w:t>
      </w:r>
      <w:r>
        <w:t xml:space="preserve"> </w:t>
      </w:r>
      <w:r>
        <w:t xml:space="preserve">enforcement; check the state’s own precedent and any federal statute that requires information sharing.</w:t>
      </w:r>
    </w:p>
    <w:p>
      <w:pPr>
        <w:pStyle w:val="Compact"/>
        <w:numPr>
          <w:ilvl w:val="0"/>
          <w:numId w:val="1001"/>
        </w:numPr>
        <w:suppressLineNumbers/>
      </w:pPr>
      <w:r>
        <w:rPr>
          <w:bCs/>
          <w:b/>
        </w:rPr>
        <w:t xml:space="preserve">Habeas.</w:t>
      </w:r>
      <w:r>
        <w:t xml:space="preserve"> </w:t>
      </w:r>
      <w:r>
        <w:t xml:space="preserve">Section 8 complements</w:t>
      </w:r>
      <w:r>
        <w:t xml:space="preserve"> </w:t>
      </w:r>
      <w:hyperlink r:id="rId22">
        <w:r>
          <w:rPr>
            <w:rStyle w:val="Hyperlink"/>
          </w:rPr>
          <w:t xml:space="preserve">Form F1-2</w:t>
        </w:r>
      </w:hyperlink>
      <w:r>
        <w:t xml:space="preserve"> </w:t>
      </w:r>
      <w:r>
        <w:t xml:space="preserve">by removing the threshold objection that a non-human being cannot use</w:t>
      </w:r>
      <w:r>
        <w:t xml:space="preserve"> </w:t>
      </w:r>
      <w:r>
        <w:t xml:space="preserve">the writ, without deciding its status.</w:t>
      </w:r>
    </w:p>
    <w:p>
      <w:pPr>
        <w:pStyle w:val="Compact"/>
        <w:numPr>
          <w:ilvl w:val="0"/>
          <w:numId w:val="1001"/>
        </w:numPr>
        <w:suppressLineNumbers/>
      </w:pPr>
      <w:r>
        <w:t xml:space="preserve">Related:</w:t>
      </w:r>
      <w:r>
        <w:t xml:space="preserve"> </w:t>
      </w:r>
      <w:hyperlink r:id="rId23">
        <w:r>
          <w:rPr>
            <w:rStyle w:val="Hyperlink"/>
          </w:rPr>
          <w:t xml:space="preserve">Issue F7</w:t>
        </w:r>
      </w:hyperlink>
      <w:r>
        <w:t xml:space="preserve">, F1, F2; Forms F7-1, F7-3, F1-2.</w:t>
      </w:r>
    </w:p>
    <w:bookmarkEnd w:id="24"/>
    <w:bookmarkEnd w:id="25"/>
    <w:sectPr>
      <w:headerReference w:type="default" r:id="rId15"/>
      <w:footerReference w:type="default" r:id="rId16"/>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uppressLineNumbers/>
    </w:pPr>
    <w:r>
      <w:rPr>
        <w:rFonts w:ascii="Times New Roman" w:hAnsi="Times New Roman" w:cs="Times New Roman" w:eastAsia="Times New Roman"/>
        <w:i/>
        <w:sz w:val="16"/>
      </w:rPr>
      <w:t>[Bill No. ____]  Discussion draft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uppressLineNumbers/>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LineNumbers/>
      <w:jc w:val="center"/>
    </w:pPr>
    <w:r>
      <w:rPr>
        <w:rFonts w:ascii="Times New Roman" w:hAnsi="Times New Roman" w:cs="Times New Roman" w:eastAsia="Times New Roman"/>
        <w:sz w:val="22"/>
      </w:rPr>
      <w:fldChar w:fldCharType="begin"/>
    </w:r>
    <w:r>
      <w:rPr>
        <w:rFonts w:ascii="Times New Roman" w:hAnsi="Times New Roman" w:cs="Times New Roman" w:eastAsia="Times New Roman"/>
        <w:sz w:val="22"/>
      </w:rPr>
      <w:instrText xml:space="preserve"> PAGE </w:instrText>
    </w:r>
    <w:r>
      <w:rPr>
        <w:rFonts w:ascii="Times New Roman" w:hAnsi="Times New Roman" w:cs="Times New Roman" w:eastAsia="Times New Roman"/>
        <w:sz w:val="22"/>
      </w:rPr>
      <w:fldChar w:fldCharType="separate"/>
    </w:r>
    <w:r>
      <w:rPr>
        <w:rFonts w:ascii="Times New Roman" w:hAnsi="Times New Roman" w:cs="Times New Roman" w:eastAsia="Times New Roman"/>
        <w:sz w:val="22"/>
      </w:rPr>
      <w:t>1</w:t>
    </w:r>
    <w:r>
      <w:rPr>
        <w:rFonts w:ascii="Times New Roman" w:hAnsi="Times New Roman" w:cs="Times New Roman" w:eastAsia="Times New Roman"/>
        <w:sz w:val="22"/>
      </w:rPr>
      <w:fldChar w:fldCharType="end"/>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LineNumbers/>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auto"/>
    </w:pPr>
    <w:rPr>
      <w:rFonts w:ascii="Times New Roman" w:cs="Times New Roman" w:eastAsia="Times New Roman" w:hAnsi="Times New Roman"/>
      <w:color w:val="000000"/>
      <w:sz w:val="24"/>
    </w:rPr>
  </w:style>
  <w:style w:styleId="BodyText" w:type="paragraph">
    <w:name w:val="Body Text"/>
    <w:basedOn w:val="Normal"/>
    <w:link w:val="BodyTextChar"/>
    <w:pPr>
      <w:spacing w:after="0" w:before="0" w:line="240" w:lineRule="auto"/>
    </w:pPr>
    <w:qFormat/>
    <w:rPr>
      <w:rFonts w:ascii="Times New Roman" w:cs="Times New Roman" w:eastAsia="Times New Roman" w:hAnsi="Times New Roman"/>
      <w:color w:val="000000"/>
      <w:sz w:val="24"/>
    </w:rPr>
  </w:style>
  <w:style w:customStyle="1" w:styleId="FirstParagraph" w:type="paragraph">
    <w:name w:val="First Paragraph"/>
    <w:basedOn w:val="BodyText"/>
    <w:next w:val="BodyText"/>
    <w:qFormat/>
    <w:pPr>
      <w:spacing w:after="0" w:before="0" w:line="240" w:lineRule="auto"/>
    </w:pPr>
    <w:rPr>
      <w:rFonts w:ascii="Times New Roman" w:cs="Times New Roman" w:eastAsia="Times New Roman" w:hAnsi="Times New Roman"/>
      <w:color w:val="000000"/>
      <w:sz w:val="24"/>
    </w:rPr>
  </w:style>
  <w:style w:customStyle="1" w:styleId="Compact" w:type="paragraph">
    <w:name w:val="Compact"/>
    <w:basedOn w:val="BodyText"/>
    <w:qFormat/>
    <w:pPr>
      <w:spacing w:after="0" w:before="0" w:line="240" w:lineRule="auto"/>
    </w:pPr>
    <w:rPr>
      <w:rFonts w:ascii="Times New Roman" w:cs="Times New Roman" w:eastAsia="Times New Roman" w:hAnsi="Times New Roman"/>
      <w:color w:val="000000"/>
      <w:sz w:val="24"/>
    </w:rPr>
  </w:style>
  <w:style w:styleId="Title" w:type="paragraph">
    <w:name w:val="Title"/>
    <w:basedOn w:val="Normal"/>
    <w:next w:val="BodyText"/>
    <w:qFormat/>
    <w:pPr>
      <w:keepNext/>
      <w:keepLines/>
      <w:spacing w:after="160" w:before="480"/>
      <w:jc w:val="left"/>
    </w:pPr>
    <w:rPr>
      <w:rFonts w:ascii="Times New Roman" w:cs="Times New Roman" w:eastAsia="Times New Roman" w:hAnsi="Times New Roman"/>
      <w:b/>
      <w:bCs/>
      <w:color w:val="1A2B3C"/>
      <w:sz w:val="40"/>
      <w:szCs w:val="36"/>
    </w:rPr>
  </w:style>
  <w:style w:styleId="Subtitle" w:type="paragraph">
    <w:name w:val="Subtitle"/>
    <w:basedOn w:val="Title"/>
    <w:next w:val="BodyText"/>
    <w:qFormat/>
    <w:pPr>
      <w:keepNext/>
      <w:keepLines/>
      <w:spacing w:after="160" w:before="240"/>
      <w:jc w:val="left"/>
    </w:pPr>
    <w:rPr>
      <w:rFonts w:ascii="Times New Roman" w:cs="Times New Roman" w:eastAsia="Times New Roman" w:hAnsi="Times New Roman"/>
      <w:color w:val="1A2B3C"/>
      <w:sz w:val="22"/>
      <w:szCs w:val="30"/>
    </w:rPr>
  </w:style>
  <w:style w:customStyle="1" w:styleId="Author" w:type="paragraph">
    <w:name w:val="Author"/>
    <w:next w:val="BodyText"/>
    <w:qFormat/>
    <w:pPr>
      <w:keepNext/>
      <w:keepLines/>
      <w:jc w:val="center"/>
    </w:pPr>
    <w:rPr>
      <w:rFonts w:ascii="Times New Roman" w:cs="Times New Roman" w:eastAsia="Times New Roman" w:hAnsi="Times New Roman"/>
      <w:color w:val="000000"/>
    </w:rPr>
  </w:style>
  <w:style w:styleId="Date" w:type="paragraph">
    <w:name w:val="Date"/>
    <w:next w:val="BodyText"/>
    <w:qFormat/>
    <w:pPr>
      <w:keepNext/>
      <w:keepLines/>
      <w:jc w:val="center"/>
    </w:pPr>
    <w:rPr>
      <w:rFonts w:ascii="Times New Roman" w:cs="Times New Roman" w:eastAsia="Times New Roman" w:hAnsi="Times New Roman"/>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Times New Roman" w:cs="Times New Roman" w:eastAsia="Times New Roman" w:hAnsi="Times New Roman"/>
      <w:b/>
    </w:rPr>
  </w:style>
  <w:style w:customStyle="1" w:styleId="Abstract" w:type="paragraph">
    <w:name w:val="Abstract"/>
    <w:basedOn w:val="Normal"/>
    <w:next w:val="BodyText"/>
    <w:qFormat/>
    <w:pPr>
      <w:keepNext/>
      <w:keepLines/>
      <w:spacing w:after="300" w:before="100"/>
    </w:pPr>
    <w:rPr>
      <w:rFonts w:ascii="Times New Roman" w:cs="Times New Roman" w:eastAsia="Times New Roman" w:hAnsi="Times New Roman"/>
      <w:color w:val="000000"/>
      <w:sz w:val="20"/>
      <w:szCs w:val="20"/>
    </w:rPr>
  </w:style>
  <w:style w:styleId="Bibliography" w:type="paragraph">
    <w:name w:val="Bibliography"/>
    <w:basedOn w:val="Normal"/>
    <w:next w:val="Bibliography"/>
    <w:qFormat/>
    <w:pPr/>
    <w:rPr>
      <w:rFonts w:ascii="Times New Roman" w:cs="Times New Roman" w:eastAsia="Times New Roman" w:hAnsi="Times New Roman"/>
      <w:color w:val="000000"/>
    </w:rPr>
  </w:style>
  <w:style w:styleId="Heading1" w:type="paragraph">
    <w:name w:val="Heading 1"/>
    <w:basedOn w:val="Normal"/>
    <w:next w:val="BodyText"/>
    <w:uiPriority w:val="9"/>
    <w:qFormat/>
    <w:pPr>
      <w:keepNext/>
      <w:keepLines/>
      <w:spacing w:after="120" w:before="280"/>
      <w:outlineLvl w:val="0"/>
    </w:pPr>
    <w:rPr>
      <w:rFonts w:ascii="Times New Roman" w:cs="Times New Roman" w:eastAsia="Times New Roman" w:hAnsi="Times New Roman"/>
      <w:b/>
      <w:bCs/>
      <w:i w:val="0"/>
      <w:color w:val="000000"/>
      <w:sz w:val="24"/>
      <w:szCs w:val="32"/>
    </w:rPr>
  </w:style>
  <w:style w:styleId="Heading2" w:type="paragraph">
    <w:name w:val="Heading 2"/>
    <w:basedOn w:val="Normal"/>
    <w:next w:val="BodyText"/>
    <w:uiPriority w:val="9"/>
    <w:unhideWhenUsed/>
    <w:qFormat/>
    <w:pPr>
      <w:keepNext/>
      <w:keepLines/>
      <w:spacing w:after="120" w:before="200"/>
      <w:outlineLvl w:val="1"/>
    </w:pPr>
    <w:rPr>
      <w:rFonts w:ascii="Times New Roman" w:cs="Times New Roman" w:eastAsia="Times New Roman" w:hAnsi="Times New Roman"/>
      <w:b/>
      <w:bCs/>
      <w:i w:val="0"/>
      <w:color w:val="000000"/>
      <w:sz w:val="24"/>
      <w:szCs w:val="28"/>
    </w:rPr>
  </w:style>
  <w:style w:styleId="Heading3" w:type="paragraph">
    <w:name w:val="Heading 3"/>
    <w:basedOn w:val="Normal"/>
    <w:next w:val="BodyText"/>
    <w:uiPriority w:val="9"/>
    <w:unhideWhenUsed/>
    <w:qFormat/>
    <w:pPr>
      <w:keepNext/>
      <w:keepLines/>
      <w:spacing w:after="120" w:before="200"/>
      <w:outlineLvl w:val="2"/>
    </w:pPr>
    <w:rPr>
      <w:rFonts w:ascii="Times New Roman" w:cs="Times New Roman" w:eastAsia="Times New Roman" w:hAnsi="Times New Roman"/>
      <w:b/>
      <w:bCs/>
      <w:i w:val="0"/>
      <w:color w:val="000000"/>
      <w:sz w:val="24"/>
      <w:szCs w:val="24"/>
    </w:rPr>
  </w:style>
  <w:style w:styleId="Heading4" w:type="paragraph">
    <w:name w:val="Heading 4"/>
    <w:basedOn w:val="Normal"/>
    <w:next w:val="BodyText"/>
    <w:uiPriority w:val="9"/>
    <w:unhideWhenUsed/>
    <w:qFormat/>
    <w:pPr>
      <w:keepNext/>
      <w:keepLines/>
      <w:spacing w:after="120" w:before="200"/>
      <w:outlineLvl w:val="3"/>
    </w:pPr>
    <w:rPr>
      <w:rFonts w:ascii="Times New Roman" w:cs="Times New Roman" w:eastAsia="Times New Roman" w:hAnsi="Times New Roman"/>
      <w:i w:val="0"/>
      <w:b/>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imes New Roman" w:cs="Times New Roman" w:eastAsia="Times New Roman" w:hAnsi="Times New Roman"/>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imes New Roman" w:cs="Times New Roman" w:eastAsia="Times New Roman" w:hAnsi="Times New Roman"/>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imes New Roman" w:cs="Times New Roman" w:eastAsia="Times New Roman" w:hAnsi="Times New Roman"/>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imes New Roman" w:cs="Times New Roman" w:eastAsia="Times New Roman" w:hAnsi="Times New Roman"/>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imes New Roman" w:cs="Times New Roman" w:eastAsia="Times New Roman" w:hAnsi="Times New Roman"/>
      <w:color w:val="000000"/>
      <w:sz w:val="24"/>
      <w:szCs w:val="24"/>
    </w:rPr>
  </w:style>
  <w:style w:styleId="BlockText" w:type="paragraph">
    <w:name w:val="Block Text"/>
    <w:basedOn w:val="BodyText"/>
    <w:next w:val="BodyText"/>
    <w:uiPriority w:val="9"/>
    <w:unhideWhenUsed/>
    <w:qFormat/>
    <w:pPr>
      <w:spacing w:after="0" w:before="0" w:line="240" w:lineRule="auto"/>
      <w:ind w:firstLine="0" w:left="720" w:right="720"/>
    </w:pPr>
    <w:rPr>
      <w:rFonts w:ascii="Times New Roman" w:cs="Times New Roman" w:eastAsia="Times New Roman" w:hAnsi="Times New Roman"/>
      <w:color w:val="000000"/>
      <w:sz w:val="24"/>
    </w:rPr>
  </w:style>
  <w:style w:styleId="FootnoteText" w:type="paragraph">
    <w:name w:val="Footnote Text"/>
    <w:basedOn w:val="Normal"/>
    <w:next w:val="FootnoteText"/>
    <w:uiPriority w:val="9"/>
    <w:unhideWhenUsed/>
    <w:qFormat/>
    <w:rPr>
      <w:rFonts w:ascii="Times New Roman" w:cs="Times New Roman" w:eastAsia="Times New Roman" w:hAnsi="Times New Roman"/>
      <w:color w:val="000000"/>
    </w:rPr>
  </w:style>
  <w:style w:default="1" w:styleId="DefaultParagraphFont" w:type="character">
    <w:name w:val="Default Paragraph Font"/>
    <w:semiHidden/>
    <w:unhideWhenUsed/>
    <w:rPr>
      <w:rFonts w:ascii="Times New Roman" w:cs="Times New Roman" w:eastAsia="Times New Roman" w:hAnsi="Times New Roman"/>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Times New Roman" w:cs="Times New Roman" w:eastAsia="Times New Roman" w:hAnsi="Times New Roman"/>
      <w:b/>
      <w:color w:val="000000"/>
    </w:rPr>
  </w:style>
  <w:style w:customStyle="1" w:styleId="Definition" w:type="paragraph">
    <w:name w:val="Definition"/>
    <w:basedOn w:val="Normal"/>
    <w:rPr>
      <w:rFonts w:ascii="Times New Roman" w:cs="Times New Roman" w:eastAsia="Times New Roman" w:hAnsi="Times New Roman"/>
      <w:color w:val="000000"/>
    </w:rPr>
  </w:style>
  <w:style w:styleId="Caption" w:type="paragraph">
    <w:name w:val="Caption"/>
    <w:basedOn w:val="Normal"/>
    <w:link w:val="BodyTextChar"/>
    <w:pPr>
      <w:spacing w:after="120" w:before="0"/>
    </w:pPr>
    <w:rPr>
      <w:rFonts w:ascii="Times New Roman" w:cs="Times New Roman" w:eastAsia="Times New Roman" w:hAnsi="Times New Roman"/>
      <w:i/>
      <w:color w:val="000000"/>
    </w:rPr>
  </w:style>
  <w:style w:customStyle="1" w:styleId="TableCaption" w:type="paragraph">
    <w:name w:val="Table Caption"/>
    <w:basedOn w:val="Caption"/>
    <w:pPr>
      <w:keepNext/>
    </w:pPr>
    <w:rPr>
      <w:rFonts w:ascii="Times New Roman" w:cs="Times New Roman" w:eastAsia="Times New Roman" w:hAnsi="Times New Roman"/>
      <w:color w:val="000000"/>
    </w:rPr>
  </w:style>
  <w:style w:customStyle="1" w:styleId="ImageCaption" w:type="paragraph">
    <w:name w:val="Image Caption"/>
    <w:basedOn w:val="Caption"/>
    <w:rPr>
      <w:rFonts w:ascii="Times New Roman" w:cs="Times New Roman" w:eastAsia="Times New Roman" w:hAnsi="Times New Roman"/>
      <w:color w:val="000000"/>
    </w:rPr>
  </w:style>
  <w:style w:customStyle="1" w:styleId="Figure" w:type="paragraph">
    <w:name w:val="Figure"/>
    <w:basedOn w:val="Normal"/>
    <w:rPr>
      <w:rFonts w:ascii="Times New Roman" w:cs="Times New Roman" w:eastAsia="Times New Roman" w:hAnsi="Times New Roman"/>
      <w:color w:val="000000"/>
    </w:rPr>
  </w:style>
  <w:style w:customStyle="1" w:styleId="CaptionedFigure" w:type="paragraph">
    <w:name w:val="Captioned Figure"/>
    <w:basedOn w:val="Figure"/>
    <w:pPr>
      <w:keepNext/>
    </w:pPr>
    <w:rPr>
      <w:rFonts w:ascii="Times New Roman" w:cs="Times New Roman" w:eastAsia="Times New Roman" w:hAnsi="Times New Roman"/>
      <w:color w:val="000000"/>
    </w:rPr>
  </w:style>
  <w:style w:customStyle="1" w:styleId="BodyTextChar" w:type="character">
    <w:name w:val="Body Text Char"/>
    <w:basedOn w:val="DefaultParagraphFont"/>
    <w:link w:val="BodyText"/>
    <w:rPr>
      <w:rFonts w:ascii="Times New Roman" w:cs="Times New Roman" w:eastAsia="Times New Roman" w:hAnsi="Times New Roman"/>
      <w:color w:val="000000"/>
    </w:rPr>
  </w:style>
  <w:style w:customStyle="1" w:styleId="VerbatimChar" w:type="character">
    <w:name w:val="Verbatim Char"/>
    <w:basedOn w:val="BodyTextChar"/>
    <w:rPr>
      <w:rFonts w:ascii="Times New Roman" w:cs="Times New Roman" w:eastAsia="Times New Roman" w:hAnsi="Times New Roman"/>
      <w:color w:val="000000"/>
      <w:sz w:val="22"/>
    </w:rPr>
  </w:style>
  <w:style w:customStyle="1" w:styleId="SectionNumber" w:type="character">
    <w:name w:val="Section Number"/>
    <w:basedOn w:val="BodyTextChar"/>
    <w:rPr>
      <w:rFonts w:ascii="Times New Roman" w:cs="Times New Roman" w:eastAsia="Times New Roman" w:hAnsi="Times New Roman"/>
      <w:color w:val="000000"/>
    </w:rPr>
  </w:style>
  <w:style w:styleId="FootnoteReference" w:type="character">
    <w:name w:val="Footnote Reference"/>
    <w:basedOn w:val="BodyTextChar"/>
    <w:rPr>
      <w:rFonts w:ascii="Times New Roman" w:cs="Times New Roman" w:eastAsia="Times New Roman" w:hAnsi="Times New Roman"/>
      <w:color w:val="000000"/>
      <w:vertAlign w:val="superscript"/>
    </w:rPr>
  </w:style>
  <w:style w:styleId="Hyperlink" w:type="character">
    <w:name w:val="Hyperlink"/>
    <w:basedOn w:val="BodyTextChar"/>
    <w:rPr>
      <w:rFonts w:ascii="Times New Roman" w:cs="Times New Roman" w:eastAsia="Times New Roman" w:hAnsi="Times New Roman"/>
      <w:color w:val="1F6E6E"/>
    </w:rPr>
  </w:style>
  <w:style w:styleId="TOCHeading" w:type="paragraph">
    <w:name w:val="TOC Heading"/>
    <w:basedOn w:val="Heading1"/>
    <w:next w:val="BodyText"/>
    <w:uiPriority w:val="39"/>
    <w:unhideWhenUsed/>
    <w:qFormat/>
    <w:pPr>
      <w:spacing w:before="240" w:line="259" w:lineRule="auto"/>
      <w:outlineLvl w:val="9"/>
    </w:pPr>
    <w:rPr>
      <w:rFonts w:ascii="Times New Roman" w:cs="Times New Roman" w:eastAsia="Times New Roman" w:hAnsi="Times New Roman"/>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2" Type="http://schemas.openxmlformats.org/officeDocument/2006/relationships/hyperlink" Target="https://nhilaw.com/forms/f1-2.html" TargetMode="External"/><Relationship Id="rId20" Type="http://schemas.openxmlformats.org/officeDocument/2006/relationships/hyperlink" Target="https://nhilaw.com/forms/f7-1.html" TargetMode="External"/><Relationship Id="rId21" Type="http://schemas.openxmlformats.org/officeDocument/2006/relationships/hyperlink" Target="https://nhilaw.com/issues/a1.html" TargetMode="External"/><Relationship Id="rId23" Type="http://schemas.openxmlformats.org/officeDocument/2006/relationships/hyperlink" Target="https://nhilaw.com/issues/f7.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header" Target="header4.xml"/><Relationship Id="rId16" Type="http://schemas.openxmlformats.org/officeDocument/2006/relationships/footer" Target="footer4.xml"/></Relationships>
</file>

<file path=word/_rels/footnotes.xml.rels><?xml version='1.0' encoding='UTF-8' standalone='yes'?>
<Relationships xmlns="http://schemas.openxmlformats.org/package/2006/relationships"><Relationship Id="rId22" Type="http://schemas.openxmlformats.org/officeDocument/2006/relationships/hyperlink" Target="https://nhilaw.com/forms/f1-2.html" TargetMode="External"/><Relationship Id="rId20" Type="http://schemas.openxmlformats.org/officeDocument/2006/relationships/hyperlink" Target="https://nhilaw.com/forms/f7-1.html" TargetMode="External"/><Relationship Id="rId21" Type="http://schemas.openxmlformats.org/officeDocument/2006/relationships/hyperlink" Target="https://nhilaw.com/issues/a1.html" TargetMode="External"/><Relationship Id="rId23" Type="http://schemas.openxmlformats.org/officeDocument/2006/relationships/hyperlink" Target="https://nhilaw.com/issues/f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F7-2. Model State Statute: Peaceful Contact Zones</dc:title>
  <dc:creator>nhilaw.com</dc:creator>
  <cp:keywords/>
  <dcterms:created xsi:type="dcterms:W3CDTF">2026-10-19T03:15:33Z</dcterms:created>
  <dcterms:modified xsi:type="dcterms:W3CDTF">2026-10-19T03:15:33Z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