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CoverKicker"/>
      </w:pPr>
      <w:r>
        <w:rPr>
          <w:smallCaps/>
          <w:color w:val="1F6E6E"/>
          <w:sz w:val="18"/>
        </w:rPr>
        <w:t xml:space="preserve">nhilaw.com sample document</w:t>
      </w:r>
    </w:p>
    <w:bookmarkStart w:id="25" w:name="Xa0025049e57eec8d5dcfc86634fa27b19f7bb63"/>
    <w:p>
      <w:pPr>
        <w:pStyle w:val="Heading1"/>
      </w:pPr>
      <w:r>
        <w:t xml:space="preserve">Form F7-4. Notice Letter to the FAA and the Department of War Announcing a Peaceful Contact Site</w:t>
      </w:r>
    </w:p>
    <w:p>
      <w:pPr>
        <w:pStyle w:val="FirstParagraph"/>
        <w:pBdr>
          <w:left w:val="single" w:sz="18" w:space="8" w:color="1F6E6E"/>
        </w:pBdr>
        <w:spacing w:after="160" w:line="259" w:lineRule="auto"/>
        <w:ind w:left="216"/>
      </w:pPr>
      <w:r>
        <w:rPr>
          <w:b/>
          <w:sz w:val="19"/>
        </w:rPr>
        <w:t xml:space="preserve">Instructions page. Delete this page before use. </w:t>
      </w:r>
      <w:r>
        <w:rPr>
          <w:sz w:val="19"/>
        </w:rPr>
        <w:t>Sample template for use by or with a licensed attorney. Not legal advice. Laws differ by jurisdiction and change; adapt the document to your facts and check every citation before relying on it. Version 1.10, October 2026. Legal information, not legal advice. Published by the Emergent Frontiers Institute (NHI Law is not a law firm). Citations checked in October 2026; check every citation before relying on it. Web version: https://nhilaw.com/forms/f7-4.html</w:t>
      </w:r>
    </w:p>
    <w:p>
      <w:pPr>
        <w:pStyle w:val="BodyText"/>
        <w:spacing w:after="160" w:line="259" w:lineRule="auto"/>
      </w:pPr>
      <w:r>
        <w:rPr>
          <w:bCs/>
          <w:b/>
        </w:rPr>
        <w:t xml:space="preserve">Use.</w:t>
      </w:r>
      <w:r>
        <w:t xml:space="preserve"> </w:t>
      </w:r>
      <w:r>
        <w:t xml:space="preserve">Written notice is the main federal-facing protection a private contact site has. It tells the responsible</w:t>
      </w:r>
      <w:r>
        <w:t xml:space="preserve"> </w:t>
      </w:r>
      <w:r>
        <w:t xml:space="preserve">agencies, before anything happens, where the site is, what it is for, and what rules govern it, and it asks them to</w:t>
      </w:r>
      <w:r>
        <w:t xml:space="preserve"> </w:t>
      </w:r>
      <w:r>
        <w:t xml:space="preserve">state any objection. If a craft or occupant is later attacked or seized at or near the site, the notice shows that the</w:t>
      </w:r>
      <w:r>
        <w:t xml:space="preserve"> </w:t>
      </w:r>
      <w:r>
        <w:t xml:space="preserve">agencies knew the site was peaceful, which supports habeas petitions (Forms F1-1, F1-2), claims against contractors,</w:t>
      </w:r>
      <w:r>
        <w:t xml:space="preserve"> </w:t>
      </w:r>
      <w:r>
        <w:t xml:space="preserve">congressional oversight, and pre-enforcement challenges (</w:t>
      </w:r>
      <w:hyperlink r:id="rId20">
        <w:r>
          <w:rPr>
            <w:rStyle w:val="Hyperlink"/>
          </w:rPr>
          <w:t xml:space="preserve">Form F3-1</w:t>
        </w:r>
      </w:hyperlink>
      <w:r>
        <w:t xml:space="preserve">). Send the same letter, adapted, to each recipient</w:t>
      </w:r>
      <w:r>
        <w:t xml:space="preserve"> </w:t>
      </w:r>
      <w:r>
        <w:t xml:space="preserve">listed below.</w:t>
      </w:r>
    </w:p>
    <w:p>
      <w:pPr>
        <w:pStyle w:val="BodyText"/>
        <w:spacing w:after="160" w:line="259" w:lineRule="auto"/>
      </w:pPr>
      <w:r>
        <w:rPr>
          <w:bCs/>
          <w:b/>
        </w:rPr>
        <w:t xml:space="preserve">When to use.</w:t>
      </w:r>
      <w:r>
        <w:t xml:space="preserve"> </w:t>
      </w:r>
      <w:r>
        <w:t xml:space="preserve">Before a host’s site opens and before any public announcement, and again whenever the site’s</w:t>
      </w:r>
      <w:r>
        <w:t xml:space="preserve"> </w:t>
      </w:r>
      <w:r>
        <w:t xml:space="preserve">boundaries or rules change.</w:t>
      </w:r>
      <w:r>
        <w:t xml:space="preserve"> </w:t>
      </w:r>
      <w:r>
        <w:rPr>
          <w:bCs/>
          <w:b/>
        </w:rPr>
        <w:t xml:space="preserve">Not for:</w:t>
      </w:r>
      <w:r>
        <w:t xml:space="preserve"> </w:t>
      </w:r>
      <w:r>
        <w:t xml:space="preserve">Requests for permission, which the letter deliberately does not make, or any</w:t>
      </w:r>
      <w:r>
        <w:t xml:space="preserve"> </w:t>
      </w:r>
      <w:r>
        <w:t xml:space="preserve">communication that claims to bind the agencies.</w:t>
      </w:r>
    </w:p>
    <w:p>
      <w:pPr>
        <w:pStyle w:val="BodyText"/>
        <w:spacing w:after="160" w:line="259" w:lineRule="auto"/>
      </w:pPr>
      <w:r>
        <w:rPr>
          <w:bCs/>
          <w:b/>
        </w:rPr>
        <w:t xml:space="preserve">Deadlines.</w:t>
      </w:r>
      <w:r>
        <w:t xml:space="preserve"> </w:t>
      </w:r>
      <w:r>
        <w:t xml:space="preserve">None by law. The letter asks for a response within 30 days.</w:t>
      </w:r>
    </w:p>
    <w:p>
      <w:pPr>
        <w:pStyle w:val="BodyText"/>
        <w:spacing w:lineRule="exact" w:line="40" w:before="0" w:after="0"/>
        <w:sectPr>
          <w:headerReference w:type="default" r:id="rId9"/>
          <w:footerReference w:type="default" r:id="rId10"/>
          <w:pgSz w:h="15840" w:w="12240"/>
          <w:pgMar w:bottom="1440" w:left="1440" w:right="1440" w:top="1440" w:header="720" w:footer="576"/>
        </w:sectPr>
      </w:pPr>
    </w:p>
    <w:p>
      <w:pPr>
        <w:pStyle w:val="BodyText"/>
      </w:pPr>
      <w:r>
        <w:t xml:space="preserve">[Host letterhead]</w:t>
      </w:r>
    </w:p>
    <w:p>
      <w:pPr>
        <w:pStyle w:val="BodyText"/>
      </w:pPr>
      <w:r>
        <w:t xml:space="preserve">[Date]</w:t>
      </w:r>
    </w:p>
    <w:p>
      <w:pPr>
        <w:pStyle w:val="BodyText"/>
      </w:pPr>
      <w:r>
        <w:rPr>
          <w:bCs/>
          <w:b/>
        </w:rPr>
        <w:t xml:space="preserve">By email and certified mail, return receipt requested</w:t>
      </w:r>
    </w:p>
    <w:p>
      <w:pPr>
        <w:pStyle w:val="BodyText"/>
      </w:pPr>
      <w:r>
        <w:t xml:space="preserve">[Administrator, Federal Aviation Administration, 800 Independence Avenue SW, Washington, DC 20591]</w:t>
      </w:r>
      <w:r>
        <w:br/>
      </w:r>
      <w:r>
        <w:t xml:space="preserve">[with a copy to the FAA Office of the Chief Counsel]</w:t>
      </w:r>
    </w:p>
    <w:p>
      <w:pPr>
        <w:pStyle w:val="BodyText"/>
      </w:pPr>
      <w:r>
        <w:t xml:space="preserve">[Secretary of War, 1000 Defense Pentagon, Washington, DC 20301]</w:t>
      </w:r>
      <w:r>
        <w:br/>
      </w:r>
      <w:r>
        <w:t xml:space="preserve">[with copies to the General Counsel of the Department of War and the Commander, North American Aerospace Defense</w:t>
      </w:r>
      <w:r>
        <w:br/>
      </w:r>
      <w:r>
        <w:t xml:space="preserve">Command and United States Northern Command]</w:t>
      </w:r>
    </w:p>
    <w:p>
      <w:pPr>
        <w:pStyle w:val="BodyText"/>
      </w:pPr>
      <w:r>
        <w:t xml:space="preserve">cc: [Chair and Ranking Member of each congressional committee listed in Schedule 2: armed services, intelligence,</w:t>
      </w:r>
      <w:r>
        <w:br/>
      </w:r>
      <w:r>
        <w:t xml:space="preserve">commerce or transportation, and judiciary]</w:t>
      </w:r>
    </w:p>
    <w:p>
      <w:pPr>
        <w:pStyle w:val="BodyText"/>
      </w:pPr>
      <w:r>
        <w:rPr>
          <w:bCs/>
          <w:b/>
        </w:rPr>
        <w:t xml:space="preserve">Re: Notice of a private peaceful contact site at [location]</w:t>
      </w:r>
    </w:p>
    <w:p>
      <w:pPr>
        <w:pStyle w:val="BodyText"/>
      </w:pPr>
      <w:r>
        <w:t xml:space="preserve">Dear [Administrator / Secretary]:</w:t>
      </w:r>
    </w:p>
    <w:p>
      <w:pPr>
        <w:pStyle w:val="BodyText"/>
      </w:pPr>
      <w:r>
        <w:t xml:space="preserve">[Host organization], a [nonprofit corporation organized under the laws of (State)], gives notice that it operates a</w:t>
      </w:r>
      <w:r>
        <w:t xml:space="preserve"> </w:t>
      </w:r>
      <w:r>
        <w:t xml:space="preserve">private site at [address or legal description; coordinates of each boundary point] (the</w:t>
      </w:r>
      <w:r>
        <w:t xml:space="preserve"> </w:t>
      </w:r>
      <w:r>
        <w:t xml:space="preserve">“</w:t>
      </w:r>
      <w:r>
        <w:t xml:space="preserve">Site</w:t>
      </w:r>
      <w:r>
        <w:t xml:space="preserve">”</w:t>
      </w:r>
      <w:r>
        <w:t xml:space="preserve">) for peaceful meeting,</w:t>
      </w:r>
      <w:r>
        <w:t xml:space="preserve"> </w:t>
      </w:r>
      <w:r>
        <w:t xml:space="preserve">observation, and communication between human beings and non-human intelligences, for scientific, educational, and</w:t>
      </w:r>
      <w:r>
        <w:t xml:space="preserve"> </w:t>
      </w:r>
      <w:r>
        <w:t xml:space="preserve">humanitarian purposes.</w:t>
      </w:r>
    </w:p>
    <w:p>
      <w:pPr>
        <w:pStyle w:val="BodyText"/>
      </w:pPr>
      <w:r>
        <w:rPr>
          <w:bCs/>
          <w:b/>
        </w:rPr>
        <w:t xml:space="preserve">1. The Site and its location.</w:t>
      </w:r>
      <w:r>
        <w:t xml:space="preserve"> </w:t>
      </w:r>
      <w:r>
        <w:t xml:space="preserve">The Site consists of [__] acres of land that [Host / its affiliate] [owns / holds</w:t>
      </w:r>
      <w:r>
        <w:t xml:space="preserve"> </w:t>
      </w:r>
      <w:r>
        <w:t xml:space="preserve">under a lease expiring (date)]. A map and the boundary coordinates are enclosed. To our knowledge, the Site lies</w:t>
      </w:r>
      <w:r>
        <w:t xml:space="preserve"> </w:t>
      </w:r>
      <w:r>
        <w:t xml:space="preserve">outside all prohibited, restricted, and national defense airspace and is [__] miles from the nearest military</w:t>
      </w:r>
      <w:r>
        <w:t xml:space="preserve"> </w:t>
      </w:r>
      <w:r>
        <w:t xml:space="preserve">installation. If any part of the Site, or the airspace above it, lies within an area established under 49 U.S.C.</w:t>
      </w:r>
      <w:r>
        <w:t xml:space="preserve"> </w:t>
      </w:r>
      <w:r>
        <w:t xml:space="preserve">§40103(b)(3) or near a facility or asset designated under 10 U.S.C. §130i, we ask that you tell us so that we can</w:t>
      </w:r>
      <w:r>
        <w:t xml:space="preserve"> </w:t>
      </w:r>
      <w:r>
        <w:t xml:space="preserve">adjust the Site’s boundaries.</w:t>
      </w:r>
    </w:p>
    <w:p>
      <w:pPr>
        <w:pStyle w:val="BodyText"/>
      </w:pPr>
      <w:r>
        <w:rPr>
          <w:bCs/>
          <w:b/>
        </w:rPr>
        <w:t xml:space="preserve">2. Peaceful purpose and rules.</w:t>
      </w:r>
      <w:r>
        <w:t xml:space="preserve"> </w:t>
      </w:r>
      <w:r>
        <w:t xml:space="preserve">The Site is governed by the enclosed Host’s Declaration, Site Charter, and Code of</w:t>
      </w:r>
      <w:r>
        <w:t xml:space="preserve"> </w:t>
      </w:r>
      <w:r>
        <w:t xml:space="preserve">Conduct. In summary: no weapons; no seizure, restraint, or harm of any visitor or craft; no samples or data taken</w:t>
      </w:r>
      <w:r>
        <w:t xml:space="preserve"> </w:t>
      </w:r>
      <w:r>
        <w:t xml:space="preserve">without consent; no negotiation on behalf of any government; review of technical information before release; and</w:t>
      </w:r>
      <w:r>
        <w:t xml:space="preserve"> </w:t>
      </w:r>
      <w:r>
        <w:t xml:space="preserve">public reporting of every arrival, departure, meeting, and act of interference. The Host speaks only for itself and</w:t>
      </w:r>
      <w:r>
        <w:t xml:space="preserve"> </w:t>
      </w:r>
      <w:r>
        <w:t xml:space="preserve">claims no sovereignty, immunity, or authority to act for the United States.</w:t>
      </w:r>
    </w:p>
    <w:p>
      <w:pPr>
        <w:pStyle w:val="BodyText"/>
      </w:pPr>
      <w:r>
        <w:rPr>
          <w:bCs/>
          <w:b/>
        </w:rPr>
        <w:t xml:space="preserve">3. Observation.</w:t>
      </w:r>
      <w:r>
        <w:t xml:space="preserve"> </w:t>
      </w:r>
      <w:r>
        <w:t xml:space="preserve">The Site is observed and recorded continuously. Records are copied daily to independent</w:t>
      </w:r>
      <w:r>
        <w:t xml:space="preserve"> </w:t>
      </w:r>
      <w:r>
        <w:t xml:space="preserve">custodians and are preserved for [10] years. Accredited academic and press observers may be present.</w:t>
      </w:r>
    </w:p>
    <w:p>
      <w:pPr>
        <w:pStyle w:val="BodyText"/>
      </w:pPr>
      <w:r>
        <w:rPr>
          <w:bCs/>
          <w:b/>
        </w:rPr>
        <w:t xml:space="preserve">4. Request.</w:t>
      </w:r>
      <w:r>
        <w:t xml:space="preserve"> </w:t>
      </w:r>
      <w:r>
        <w:t xml:space="preserve">We ask that you:</w:t>
      </w:r>
      <w:r>
        <w:br/>
      </w:r>
      <w:r>
        <w:t xml:space="preserve">(a) inform us within 30 days of any objection to the Site’s operation, any law or regulation you believe it violates,</w:t>
      </w:r>
      <w:r>
        <w:t xml:space="preserve"> </w:t>
      </w:r>
      <w:r>
        <w:t xml:space="preserve">and any airspace restriction that applies to it;</w:t>
      </w:r>
      <w:r>
        <w:br/>
      </w:r>
      <w:r>
        <w:t xml:space="preserve">(b) ensure that any craft at or approaching the Site that poses no imminent threat to persons is not subjected to</w:t>
      </w:r>
      <w:r>
        <w:t xml:space="preserve"> </w:t>
      </w:r>
      <w:r>
        <w:t xml:space="preserve">force, seizure, or interference, and that no occupant is detained; and</w:t>
      </w:r>
      <w:r>
        <w:br/>
      </w:r>
      <w:r>
        <w:t xml:space="preserve">(c) designate an official with whom the Host may communicate about the Site in an emergency.</w:t>
      </w:r>
    </w:p>
    <w:p>
      <w:pPr>
        <w:pStyle w:val="BodyText"/>
      </w:pPr>
      <w:r>
        <w:rPr>
          <w:bCs/>
          <w:b/>
        </w:rPr>
        <w:t xml:space="preserve">5. Interference.</w:t>
      </w:r>
      <w:r>
        <w:t xml:space="preserve"> </w:t>
      </w:r>
      <w:r>
        <w:t xml:space="preserve">The Host will report publicly, and to the recipients of this letter, any act of interference at</w:t>
      </w:r>
      <w:r>
        <w:t xml:space="preserve"> </w:t>
      </w:r>
      <w:r>
        <w:t xml:space="preserve">or near the Site by any person. If any visitor to the Site is taken into custody by any person, the Host intends to</w:t>
      </w:r>
      <w:r>
        <w:t xml:space="preserve"> </w:t>
      </w:r>
      <w:r>
        <w:t xml:space="preserve">seek relief in court on the visitor’s behalf.</w:t>
      </w:r>
    </w:p>
    <w:p>
      <w:pPr>
        <w:pStyle w:val="BodyText"/>
      </w:pPr>
      <w:r>
        <w:rPr>
          <w:bCs/>
          <w:b/>
        </w:rPr>
        <w:t xml:space="preserve">6. Preservation.</w:t>
      </w:r>
      <w:r>
        <w:t xml:space="preserve"> </w:t>
      </w:r>
      <w:r>
        <w:t xml:space="preserve">Please preserve all records concerning the Site, this letter, and any activity of your</w:t>
      </w:r>
      <w:r>
        <w:t xml:space="preserve"> </w:t>
      </w:r>
      <w:r>
        <w:t xml:space="preserve">department, its components, or its contractors at or near the Site from the date of this letter, including sensor</w:t>
      </w:r>
      <w:r>
        <w:t xml:space="preserve"> </w:t>
      </w:r>
      <w:r>
        <w:t xml:space="preserve">data, communications, and records of any engagement or recovery.</w:t>
      </w:r>
    </w:p>
    <w:p>
      <w:pPr>
        <w:pStyle w:val="BodyText"/>
      </w:pPr>
      <w:r>
        <w:t xml:space="preserve">We would welcome a meeting. Please direct any response to [name, title, address, email, telephone].</w:t>
      </w:r>
    </w:p>
    <w:p>
      <w:pPr>
        <w:pStyle w:val="BodyText"/>
      </w:pPr>
      <w:r>
        <w:t xml:space="preserve">Sincerely,</w:t>
      </w:r>
    </w:p>
    <w:p>
      <w:pPr>
        <w:pStyle w:val="BodyText"/>
      </w:pPr>
      <w:r>
        <w:t xml:space="preserve">[Name]</w:t>
      </w:r>
      <w:r>
        <w:br/>
      </w:r>
      <w:r>
        <w:t xml:space="preserve">[Title]</w:t>
      </w:r>
      <w:r>
        <w:br/>
      </w:r>
      <w:r>
        <w:t xml:space="preserve">[Host organization]</w:t>
      </w:r>
    </w:p>
    <w:p>
      <w:pPr>
        <w:pStyle w:val="BodyText"/>
      </w:pPr>
      <w:r>
        <w:t xml:space="preserve">Enclosures: Map and boundary coordinates; Host’s Declaration, Site Charter, and Code of Conduct (</w:t>
      </w:r>
      <w:hyperlink r:id="rId21">
        <w:r>
          <w:rPr>
            <w:rStyle w:val="Hyperlink"/>
          </w:rPr>
          <w:t xml:space="preserve">Form F7-3</w:t>
        </w:r>
      </w:hyperlink>
      <w:r>
        <w:t xml:space="preserve">); list</w:t>
      </w:r>
      <w:r>
        <w:br/>
      </w:r>
      <w:r>
        <w:t xml:space="preserve">of congressional recipients (Schedule 2).</w:t>
      </w:r>
    </w:p>
    <w:p>
      <w:pPr>
        <w:pStyle w:val="BodyText"/>
        <w:spacing w:lineRule="exact" w:line="40" w:before="0" w:after="0"/>
        <w:sectPr>
          <w:headerReference w:type="default" r:id="rId11"/>
          <w:footerReference w:type="default" r:id="rId12"/>
          <w:headerReference w:type="first" r:id="rId14"/>
          <w:footerReference w:type="first" r:id="rId13"/>
          <w:pgSz w:h="15840" w:w="12240"/>
          <w:pgMar w:bottom="1440" w:left="1440" w:right="1440" w:top="1440" w:header="720" w:footer="576"/>
          <w:pgNumType w:start="1"/>
          <w:titlePg/>
        </w:sectPr>
      </w:pPr>
    </w:p>
    <w:bookmarkStart w:id="24" w:name="drafting-notes"/>
    <w:p>
      <w:pPr>
        <w:pStyle w:val="Heading2"/>
      </w:pPr>
      <w:r>
        <w:t xml:space="preserve">Drafting notes</w:t>
      </w:r>
    </w:p>
    <w:p>
      <w:pPr>
        <w:pStyle w:val="Compact"/>
        <w:numPr>
          <w:ilvl w:val="0"/>
          <w:numId w:val="1001"/>
        </w:numPr>
      </w:pPr>
      <w:r>
        <w:rPr>
          <w:bCs/>
          <w:b/>
        </w:rPr>
        <w:t xml:space="preserve">Notice, not permission.</w:t>
      </w:r>
      <w:r>
        <w:t xml:space="preserve"> </w:t>
      </w:r>
      <w:r>
        <w:t xml:space="preserve">The letter states facts and asks for objections; it does not ask for approval, which</w:t>
      </w:r>
      <w:r>
        <w:t xml:space="preserve"> </w:t>
      </w:r>
      <w:r>
        <w:t xml:space="preserve">the agencies could refuse and which no statute requires for peaceful use of private land. A separate FAA petition</w:t>
      </w:r>
      <w:r>
        <w:t xml:space="preserve"> </w:t>
      </w:r>
      <w:r>
        <w:t xml:space="preserve">for rulemaking under 14 C.F.R. §11.61 may be filed if the Host wants a formal record of a proposed airspace action.</w:t>
      </w:r>
    </w:p>
    <w:p>
      <w:pPr>
        <w:pStyle w:val="Compact"/>
        <w:numPr>
          <w:ilvl w:val="0"/>
          <w:numId w:val="1001"/>
        </w:numPr>
      </w:pPr>
      <w:r>
        <w:rPr>
          <w:bCs/>
          <w:b/>
        </w:rPr>
        <w:t xml:space="preserve">AARO.</w:t>
      </w:r>
      <w:r>
        <w:t xml:space="preserve"> </w:t>
      </w:r>
      <w:r>
        <w:t xml:space="preserve">A copy may be sent to the All-domain Anomaly Resolution Office for completeness, but do not rely on it for</w:t>
      </w:r>
      <w:r>
        <w:t xml:space="preserve"> </w:t>
      </w:r>
      <w:r>
        <w:t xml:space="preserve">protection or accurate information (</w:t>
      </w:r>
      <w:hyperlink r:id="rId22">
        <w:r>
          <w:rPr>
            <w:rStyle w:val="Hyperlink"/>
          </w:rPr>
          <w:t xml:space="preserve">Issue A3</w:t>
        </w:r>
      </w:hyperlink>
      <w:r>
        <w:t xml:space="preserve">).</w:t>
      </w:r>
    </w:p>
    <w:p>
      <w:pPr>
        <w:pStyle w:val="Compact"/>
        <w:numPr>
          <w:ilvl w:val="0"/>
          <w:numId w:val="1001"/>
        </w:numPr>
      </w:pPr>
      <w:r>
        <w:rPr>
          <w:bCs/>
          <w:b/>
        </w:rPr>
        <w:t xml:space="preserve">Paragraph 4(b)</w:t>
      </w:r>
      <w:r>
        <w:t xml:space="preserve"> </w:t>
      </w:r>
      <w:r>
        <w:t xml:space="preserve">asks for restraint; it is not a demand the agencies must meet. Its value is the record it</w:t>
      </w:r>
      <w:r>
        <w:t xml:space="preserve"> </w:t>
      </w:r>
      <w:r>
        <w:t xml:space="preserve">creates.</w:t>
      </w:r>
    </w:p>
    <w:p>
      <w:pPr>
        <w:pStyle w:val="Compact"/>
        <w:numPr>
          <w:ilvl w:val="0"/>
          <w:numId w:val="1001"/>
        </w:numPr>
      </w:pPr>
      <w:r>
        <w:rPr>
          <w:bCs/>
          <w:b/>
        </w:rPr>
        <w:t xml:space="preserve">Proof of delivery.</w:t>
      </w:r>
      <w:r>
        <w:t xml:space="preserve"> </w:t>
      </w:r>
      <w:r>
        <w:t xml:space="preserve">Keep the certified-mail receipts and email confirmations with the Site’s records.</w:t>
      </w:r>
    </w:p>
    <w:p>
      <w:pPr>
        <w:pStyle w:val="Compact"/>
        <w:numPr>
          <w:ilvl w:val="0"/>
          <w:numId w:val="1001"/>
        </w:numPr>
      </w:pPr>
      <w:r>
        <w:rPr>
          <w:bCs/>
          <w:b/>
        </w:rPr>
        <w:t xml:space="preserve">Classified information.</w:t>
      </w:r>
      <w:r>
        <w:t xml:space="preserve"> </w:t>
      </w:r>
      <w:r>
        <w:t xml:space="preserve">Do not include classified information or describe any program from classified</w:t>
      </w:r>
      <w:r>
        <w:t xml:space="preserve"> </w:t>
      </w:r>
      <w:r>
        <w:t xml:space="preserve">sources.</w:t>
      </w:r>
    </w:p>
    <w:p>
      <w:pPr>
        <w:pStyle w:val="Compact"/>
        <w:numPr>
          <w:ilvl w:val="0"/>
          <w:numId w:val="1001"/>
        </w:numPr>
      </w:pPr>
      <w:r>
        <w:t xml:space="preserve">Related:</w:t>
      </w:r>
      <w:r>
        <w:t xml:space="preserve"> </w:t>
      </w:r>
      <w:hyperlink r:id="rId23">
        <w:r>
          <w:rPr>
            <w:rStyle w:val="Hyperlink"/>
          </w:rPr>
          <w:t xml:space="preserve">Issue F7</w:t>
        </w:r>
      </w:hyperlink>
      <w:r>
        <w:t xml:space="preserve">, F2, F3; Forms F7-3, F1-1, F1-2, F3-1, D4-1.</w:t>
      </w:r>
    </w:p>
    <w:bookmarkEnd w:id="24"/>
    <w:bookmarkEnd w:id="25"/>
    <w:sectPr>
      <w:headerReference w:type="default" r:id="rId15"/>
      <w:footerReference w:type="default" r:id="rId16"/>
      <w:pgSz w:h="15840" w:w="12240"/>
      <w:pgMar w:bottom="1440" w:left="1440" w:right="1440" w:top="1440" w:header="720" w:footer="57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rFonts w:ascii="Cambria" w:hAnsi="Cambria" w:cs="Cambria" w:eastAsia="Cambria"/>
        <w:sz w:val="18"/>
      </w:rPr>
      <w:t xml:space="preserve">Page </w:t>
    </w:r>
    <w:r>
      <w:rPr>
        <w:rFonts w:ascii="Cambria" w:hAnsi="Cambria" w:cs="Cambria" w:eastAsia="Cambria"/>
        <w:sz w:val="18"/>
      </w:rPr>
      <w:fldChar w:fldCharType="begin"/>
    </w:r>
    <w:r>
      <w:rPr>
        <w:rFonts w:ascii="Cambria" w:hAnsi="Cambria" w:cs="Cambria" w:eastAsia="Cambria"/>
        <w:sz w:val="18"/>
      </w:rPr>
      <w:instrText xml:space="preserve"> PAGE </w:instrText>
    </w:r>
    <w:r>
      <w:rPr>
        <w:rFonts w:ascii="Cambria" w:hAnsi="Cambria" w:cs="Cambria" w:eastAsia="Cambria"/>
        <w:sz w:val="18"/>
      </w:rPr>
      <w:fldChar w:fldCharType="separate"/>
    </w:r>
    <w:r>
      <w:rPr>
        <w:rFonts w:ascii="Cambria" w:hAnsi="Cambria" w:cs="Cambria" w:eastAsia="Cambria"/>
        <w:sz w:val="18"/>
      </w:rPr>
      <w:t>1</w:t>
    </w:r>
    <w:r>
      <w:rPr>
        <w:rFonts w:ascii="Cambria" w:hAnsi="Cambria" w:cs="Cambria" w:eastAsia="Cambria"/>
        <w:sz w:val="18"/>
      </w:rPr>
      <w:fldChar w:fldCharType="end"/>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4.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4.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60" w:before="0" w:line="259" w:lineRule="auto"/>
    </w:pPr>
    <w:rPr>
      <w:rFonts w:ascii="Cambria" w:cs="Cambria" w:eastAsia="Cambria" w:hAnsi="Cambria"/>
      <w:color w:val="000000"/>
      <w:sz w:val="23"/>
    </w:rPr>
  </w:style>
  <w:style w:styleId="BodyText" w:type="paragraph">
    <w:name w:val="Body Text"/>
    <w:basedOn w:val="Normal"/>
    <w:link w:val="BodyTextChar"/>
    <w:pPr>
      <w:spacing w:after="160" w:before="0" w:line="259" w:lineRule="auto"/>
    </w:pPr>
    <w:qFormat/>
    <w:rPr>
      <w:rFonts w:ascii="Cambria" w:cs="Cambria" w:eastAsia="Cambria" w:hAnsi="Cambria"/>
      <w:color w:val="000000"/>
      <w:sz w:val="23"/>
    </w:rPr>
  </w:style>
  <w:style w:customStyle="1" w:styleId="FirstParagraph" w:type="paragraph">
    <w:name w:val="First Paragraph"/>
    <w:basedOn w:val="BodyText"/>
    <w:next w:val="BodyText"/>
    <w:qFormat/>
    <w:pPr>
      <w:spacing w:after="160" w:before="0" w:line="259" w:lineRule="auto"/>
    </w:pPr>
    <w:rPr>
      <w:rFonts w:ascii="Cambria" w:cs="Cambria" w:eastAsia="Cambria" w:hAnsi="Cambria"/>
      <w:color w:val="000000"/>
      <w:sz w:val="23"/>
    </w:rPr>
  </w:style>
  <w:style w:customStyle="1" w:styleId="Compact" w:type="paragraph">
    <w:name w:val="Compact"/>
    <w:basedOn w:val="BodyText"/>
    <w:qFormat/>
    <w:pPr>
      <w:spacing w:after="160" w:before="0" w:line="259" w:lineRule="auto"/>
    </w:pPr>
    <w:rPr>
      <w:rFonts w:ascii="Cambria" w:cs="Cambria" w:eastAsia="Cambria" w:hAnsi="Cambria"/>
      <w:color w:val="000000"/>
      <w:sz w:val="23"/>
    </w:rPr>
  </w:style>
  <w:style w:styleId="Title" w:type="paragraph">
    <w:name w:val="Title"/>
    <w:basedOn w:val="Normal"/>
    <w:next w:val="BodyText"/>
    <w:qFormat/>
    <w:pPr>
      <w:keepNext/>
      <w:keepLines/>
      <w:spacing w:after="160" w:before="480"/>
      <w:jc w:val="left"/>
    </w:pPr>
    <w:rPr>
      <w:rFonts w:ascii="Cambria" w:cs="Cambria" w:eastAsia="Cambria" w:hAnsi="Cambria"/>
      <w:b/>
      <w:bCs/>
      <w:color w:val="1A2B3C"/>
      <w:sz w:val="40"/>
      <w:szCs w:val="36"/>
    </w:rPr>
  </w:style>
  <w:style w:styleId="Subtitle" w:type="paragraph">
    <w:name w:val="Subtitle"/>
    <w:basedOn w:val="Title"/>
    <w:next w:val="BodyText"/>
    <w:qFormat/>
    <w:pPr>
      <w:keepNext/>
      <w:keepLines/>
      <w:spacing w:after="160" w:before="240"/>
      <w:jc w:val="left"/>
    </w:pPr>
    <w:rPr>
      <w:rFonts w:ascii="Cambria" w:cs="Cambria" w:eastAsia="Cambria" w:hAnsi="Cambria"/>
      <w:color w:val="1A2B3C"/>
      <w:sz w:val="22"/>
      <w:szCs w:val="30"/>
    </w:rPr>
  </w:style>
  <w:style w:customStyle="1" w:styleId="Author" w:type="paragraph">
    <w:name w:val="Author"/>
    <w:next w:val="BodyText"/>
    <w:qFormat/>
    <w:pPr>
      <w:keepNext/>
      <w:keepLines/>
      <w:jc w:val="center"/>
    </w:pPr>
    <w:rPr>
      <w:rFonts w:ascii="Cambria" w:cs="Cambria" w:eastAsia="Cambria" w:hAnsi="Cambria"/>
      <w:color w:val="000000"/>
    </w:rPr>
  </w:style>
  <w:style w:styleId="Date" w:type="paragraph">
    <w:name w:val="Date"/>
    <w:next w:val="BodyText"/>
    <w:qFormat/>
    <w:pPr>
      <w:keepNext/>
      <w:keepLines/>
      <w:jc w:val="center"/>
    </w:pPr>
    <w:rPr>
      <w:rFonts w:ascii="Cambria" w:cs="Cambria" w:eastAsia="Cambria" w:hAnsi="Cambria"/>
      <w:color w:val="000000"/>
    </w:rPr>
  </w:style>
  <w:style w:customStyle="1" w:styleId="AbstractTitle" w:type="paragraph">
    <w:name w:val="Abstract Title"/>
    <w:basedOn w:val="Normal"/>
    <w:next w:val="Abstract"/>
    <w:qFormat/>
    <w:pPr>
      <w:keepNext/>
      <w:keepLines/>
      <w:spacing w:after="0" w:before="300"/>
      <w:jc w:val="center"/>
    </w:pPr>
    <w:rPr>
      <w:color w:val="000000"/>
      <w:sz w:val="20"/>
      <w:szCs w:val="20"/>
      <w:rFonts w:ascii="Cambria" w:cs="Cambria" w:eastAsia="Cambria" w:hAnsi="Cambria"/>
      <w:b/>
    </w:rPr>
  </w:style>
  <w:style w:customStyle="1" w:styleId="Abstract" w:type="paragraph">
    <w:name w:val="Abstract"/>
    <w:basedOn w:val="Normal"/>
    <w:next w:val="BodyText"/>
    <w:qFormat/>
    <w:pPr>
      <w:keepNext/>
      <w:keepLines/>
      <w:spacing w:after="300" w:before="100"/>
    </w:pPr>
    <w:rPr>
      <w:rFonts w:ascii="Cambria" w:cs="Cambria" w:eastAsia="Cambria" w:hAnsi="Cambria"/>
      <w:color w:val="000000"/>
      <w:sz w:val="20"/>
      <w:szCs w:val="20"/>
    </w:rPr>
  </w:style>
  <w:style w:styleId="Bibliography" w:type="paragraph">
    <w:name w:val="Bibliography"/>
    <w:basedOn w:val="Normal"/>
    <w:next w:val="Bibliography"/>
    <w:qFormat/>
    <w:pPr/>
    <w:rPr>
      <w:rFonts w:ascii="Cambria" w:cs="Cambria" w:eastAsia="Cambria" w:hAnsi="Cambria"/>
      <w:color w:val="000000"/>
    </w:rPr>
  </w:style>
  <w:style w:styleId="Heading1" w:type="paragraph">
    <w:name w:val="Heading 1"/>
    <w:basedOn w:val="Normal"/>
    <w:next w:val="BodyText"/>
    <w:uiPriority w:val="9"/>
    <w:qFormat/>
    <w:pPr>
      <w:keepNext/>
      <w:keepLines/>
      <w:spacing w:after="120" w:before="280"/>
      <w:outlineLvl w:val="0"/>
    </w:pPr>
    <w:rPr>
      <w:rFonts w:ascii="Cambria" w:cs="Cambria" w:eastAsia="Cambria" w:hAnsi="Cambria"/>
      <w:b/>
      <w:bCs/>
      <w:i w:val="0"/>
      <w:color w:val="1A2B3C"/>
      <w:sz w:val="30"/>
      <w:szCs w:val="32"/>
    </w:rPr>
  </w:style>
  <w:style w:styleId="Heading2" w:type="paragraph">
    <w:name w:val="Heading 2"/>
    <w:basedOn w:val="Normal"/>
    <w:next w:val="BodyText"/>
    <w:uiPriority w:val="9"/>
    <w:unhideWhenUsed/>
    <w:qFormat/>
    <w:pPr>
      <w:keepNext/>
      <w:keepLines/>
      <w:spacing w:after="120" w:before="200"/>
      <w:outlineLvl w:val="1"/>
    </w:pPr>
    <w:rPr>
      <w:rFonts w:ascii="Cambria" w:cs="Cambria" w:eastAsia="Cambria" w:hAnsi="Cambria"/>
      <w:b/>
      <w:bCs/>
      <w:i w:val="0"/>
      <w:color w:val="1A2B3C"/>
      <w:sz w:val="25"/>
      <w:szCs w:val="28"/>
    </w:rPr>
  </w:style>
  <w:style w:styleId="Heading3" w:type="paragraph">
    <w:name w:val="Heading 3"/>
    <w:basedOn w:val="Normal"/>
    <w:next w:val="BodyText"/>
    <w:uiPriority w:val="9"/>
    <w:unhideWhenUsed/>
    <w:qFormat/>
    <w:pPr>
      <w:keepNext/>
      <w:keepLines/>
      <w:spacing w:after="120" w:before="200"/>
      <w:outlineLvl w:val="2"/>
    </w:pPr>
    <w:rPr>
      <w:rFonts w:ascii="Cambria" w:cs="Cambria" w:eastAsia="Cambria" w:hAnsi="Cambria"/>
      <w:b/>
      <w:bCs/>
      <w:i w:val="0"/>
      <w:color w:val="1A2B3C"/>
      <w:sz w:val="23"/>
      <w:szCs w:val="24"/>
    </w:rPr>
  </w:style>
  <w:style w:styleId="Heading4" w:type="paragraph">
    <w:name w:val="Heading 4"/>
    <w:basedOn w:val="Normal"/>
    <w:next w:val="BodyText"/>
    <w:uiPriority w:val="9"/>
    <w:unhideWhenUsed/>
    <w:qFormat/>
    <w:pPr>
      <w:keepNext/>
      <w:keepLines/>
      <w:spacing w:after="120" w:before="200"/>
      <w:outlineLvl w:val="3"/>
    </w:pPr>
    <w:rPr>
      <w:rFonts w:ascii="Cambria" w:cs="Cambria" w:eastAsia="Cambria" w:hAnsi="Cambria"/>
      <w:i w:val="0"/>
      <w:b/>
      <w:bCs/>
      <w:color w:val="1A2B3C"/>
      <w:sz w:val="23"/>
      <w:szCs w:val="24"/>
    </w:rPr>
  </w:style>
  <w:style w:styleId="Heading5" w:type="paragraph">
    <w:name w:val="Heading 5"/>
    <w:basedOn w:val="Normal"/>
    <w:next w:val="BodyText"/>
    <w:uiPriority w:val="9"/>
    <w:unhideWhenUsed/>
    <w:qFormat/>
    <w:pPr>
      <w:keepNext/>
      <w:keepLines/>
      <w:spacing w:after="0" w:before="200"/>
      <w:outlineLvl w:val="4"/>
    </w:pPr>
    <w:rPr>
      <w:rFonts w:ascii="Cambria" w:cs="Cambria" w:eastAsia="Cambria" w:hAnsi="Cambria"/>
      <w:iCs/>
      <w:color w:val="000000"/>
      <w:sz w:val="24"/>
      <w:szCs w:val="24"/>
    </w:rPr>
  </w:style>
  <w:style w:styleId="Heading6" w:type="paragraph">
    <w:name w:val="Heading 6"/>
    <w:basedOn w:val="Normal"/>
    <w:next w:val="BodyText"/>
    <w:uiPriority w:val="9"/>
    <w:unhideWhenUsed/>
    <w:qFormat/>
    <w:pPr>
      <w:keepNext/>
      <w:keepLines/>
      <w:spacing w:after="0" w:before="200"/>
      <w:outlineLvl w:val="5"/>
    </w:pPr>
    <w:rPr>
      <w:rFonts w:ascii="Cambria" w:cs="Cambria" w:eastAsia="Cambria" w:hAnsi="Cambria"/>
      <w:color w:val="000000"/>
      <w:sz w:val="24"/>
      <w:szCs w:val="24"/>
    </w:rPr>
  </w:style>
  <w:style w:styleId="Heading7" w:type="paragraph">
    <w:name w:val="Heading 7"/>
    <w:basedOn w:val="Normal"/>
    <w:next w:val="BodyText"/>
    <w:uiPriority w:val="9"/>
    <w:unhideWhenUsed/>
    <w:qFormat/>
    <w:pPr>
      <w:keepNext/>
      <w:keepLines/>
      <w:spacing w:after="0" w:before="200"/>
      <w:outlineLvl w:val="6"/>
    </w:pPr>
    <w:rPr>
      <w:rFonts w:ascii="Cambria" w:cs="Cambria" w:eastAsia="Cambria" w:hAnsi="Cambria"/>
      <w:color w:val="000000"/>
      <w:sz w:val="24"/>
      <w:szCs w:val="24"/>
    </w:rPr>
  </w:style>
  <w:style w:styleId="Heading8" w:type="paragraph">
    <w:name w:val="Heading 8"/>
    <w:basedOn w:val="Normal"/>
    <w:next w:val="BodyText"/>
    <w:uiPriority w:val="9"/>
    <w:unhideWhenUsed/>
    <w:qFormat/>
    <w:pPr>
      <w:keepNext/>
      <w:keepLines/>
      <w:spacing w:after="0" w:before="200"/>
      <w:outlineLvl w:val="7"/>
    </w:pPr>
    <w:rPr>
      <w:rFonts w:ascii="Cambria" w:cs="Cambria" w:eastAsia="Cambria" w:hAnsi="Cambria"/>
      <w:color w:val="000000"/>
      <w:sz w:val="24"/>
      <w:szCs w:val="24"/>
    </w:rPr>
  </w:style>
  <w:style w:styleId="Heading9" w:type="paragraph">
    <w:name w:val="Heading 9"/>
    <w:basedOn w:val="Normal"/>
    <w:next w:val="BodyText"/>
    <w:uiPriority w:val="9"/>
    <w:unhideWhenUsed/>
    <w:qFormat/>
    <w:pPr>
      <w:keepNext/>
      <w:keepLines/>
      <w:spacing w:after="0" w:before="200"/>
      <w:outlineLvl w:val="8"/>
    </w:pPr>
    <w:rPr>
      <w:rFonts w:ascii="Cambria" w:cs="Cambria" w:eastAsia="Cambria" w:hAnsi="Cambria"/>
      <w:color w:val="000000"/>
      <w:sz w:val="24"/>
      <w:szCs w:val="24"/>
    </w:rPr>
  </w:style>
  <w:style w:styleId="BlockText" w:type="paragraph">
    <w:name w:val="Block Text"/>
    <w:basedOn w:val="BodyText"/>
    <w:next w:val="BodyText"/>
    <w:uiPriority w:val="9"/>
    <w:unhideWhenUsed/>
    <w:qFormat/>
    <w:pPr>
      <w:spacing w:after="160" w:before="0" w:line="259" w:lineRule="auto"/>
      <w:ind w:firstLine="0" w:left="720" w:right="720"/>
    </w:pPr>
    <w:rPr>
      <w:rFonts w:ascii="Cambria" w:cs="Cambria" w:eastAsia="Cambria" w:hAnsi="Cambria"/>
      <w:color w:val="000000"/>
      <w:sz w:val="23"/>
    </w:rPr>
  </w:style>
  <w:style w:styleId="FootnoteText" w:type="paragraph">
    <w:name w:val="Footnote Text"/>
    <w:basedOn w:val="Normal"/>
    <w:next w:val="FootnoteText"/>
    <w:uiPriority w:val="9"/>
    <w:unhideWhenUsed/>
    <w:qFormat/>
    <w:rPr>
      <w:rFonts w:ascii="Cambria" w:cs="Cambria" w:eastAsia="Cambria" w:hAnsi="Cambria"/>
      <w:color w:val="000000"/>
    </w:rPr>
  </w:style>
  <w:style w:default="1" w:styleId="DefaultParagraphFont" w:type="character">
    <w:name w:val="Default Paragraph Font"/>
    <w:semiHidden/>
    <w:unhideWhenUsed/>
    <w:rPr>
      <w:rFonts w:ascii="Cambria" w:cs="Cambria" w:eastAsia="Cambria" w:hAnsi="Cambria"/>
      <w:color w:val="000000"/>
    </w:rPr>
  </w:style>
  <w:style w:default="1" w:styleId="Table" w:type="table">
    <w:name w:val="Table"/>
    <w:basedOn w:val="TableNormal"/>
    <w:semiHidden/>
    <w:unhideWhenUsed/>
    <w:qFormat/>
    <w:tblPr>
      <w:tblInd w:type="dxa" w:w="0"/>
      <w:tblBorders>
        <w:top w:color="1A2B3C" w:space="0" w:sz="8" w:val="single"/>
        <w:bottom w:color="1A2B3C" w:space="0" w:sz="8" w:val="single"/>
        <w:insideH w:color="9AA5AE" w:space="0" w:sz="4" w:val="single"/>
      </w:tblBorders>
      <w:tblCellMar>
        <w:top w:type="dxa" w:w="0"/>
        <w:left w:type="dxa" w:w="108"/>
        <w:bottom w:type="dxa" w:w="0"/>
        <w:right w:type="dxa" w:w="108"/>
      </w:tblCellMar>
      <w:tblCellMar>
        <w:top w:type="dxa" w:w="50"/>
        <w:bottom w:type="dxa" w:w="50"/>
        <w:left w:type="dxa" w:w="80"/>
        <w:right w:type="dxa" w:w="80"/>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rFonts w:ascii="Cambria" w:cs="Cambria" w:eastAsia="Cambria" w:hAnsi="Cambria"/>
      <w:b/>
      <w:color w:val="000000"/>
    </w:rPr>
  </w:style>
  <w:style w:customStyle="1" w:styleId="Definition" w:type="paragraph">
    <w:name w:val="Definition"/>
    <w:basedOn w:val="Normal"/>
    <w:rPr>
      <w:rFonts w:ascii="Cambria" w:cs="Cambria" w:eastAsia="Cambria" w:hAnsi="Cambria"/>
      <w:color w:val="000000"/>
    </w:rPr>
  </w:style>
  <w:style w:styleId="Caption" w:type="paragraph">
    <w:name w:val="Caption"/>
    <w:basedOn w:val="Normal"/>
    <w:link w:val="BodyTextChar"/>
    <w:pPr>
      <w:spacing w:after="120" w:before="0"/>
    </w:pPr>
    <w:rPr>
      <w:rFonts w:ascii="Cambria" w:cs="Cambria" w:eastAsia="Cambria" w:hAnsi="Cambria"/>
      <w:i/>
      <w:color w:val="000000"/>
    </w:rPr>
  </w:style>
  <w:style w:customStyle="1" w:styleId="TableCaption" w:type="paragraph">
    <w:name w:val="Table Caption"/>
    <w:basedOn w:val="Caption"/>
    <w:pPr>
      <w:keepNext/>
    </w:pPr>
    <w:rPr>
      <w:rFonts w:ascii="Cambria" w:cs="Cambria" w:eastAsia="Cambria" w:hAnsi="Cambria"/>
      <w:color w:val="000000"/>
    </w:rPr>
  </w:style>
  <w:style w:customStyle="1" w:styleId="ImageCaption" w:type="paragraph">
    <w:name w:val="Image Caption"/>
    <w:basedOn w:val="Caption"/>
    <w:rPr>
      <w:rFonts w:ascii="Cambria" w:cs="Cambria" w:eastAsia="Cambria" w:hAnsi="Cambria"/>
      <w:color w:val="000000"/>
    </w:rPr>
  </w:style>
  <w:style w:customStyle="1" w:styleId="Figure" w:type="paragraph">
    <w:name w:val="Figure"/>
    <w:basedOn w:val="Normal"/>
    <w:rPr>
      <w:rFonts w:ascii="Cambria" w:cs="Cambria" w:eastAsia="Cambria" w:hAnsi="Cambria"/>
      <w:color w:val="000000"/>
    </w:rPr>
  </w:style>
  <w:style w:customStyle="1" w:styleId="CaptionedFigure" w:type="paragraph">
    <w:name w:val="Captioned Figure"/>
    <w:basedOn w:val="Figure"/>
    <w:pPr>
      <w:keepNext/>
    </w:pPr>
    <w:rPr>
      <w:rFonts w:ascii="Cambria" w:cs="Cambria" w:eastAsia="Cambria" w:hAnsi="Cambria"/>
      <w:color w:val="000000"/>
    </w:rPr>
  </w:style>
  <w:style w:customStyle="1" w:styleId="BodyTextChar" w:type="character">
    <w:name w:val="Body Text Char"/>
    <w:basedOn w:val="DefaultParagraphFont"/>
    <w:link w:val="BodyText"/>
    <w:rPr>
      <w:rFonts w:ascii="Cambria" w:cs="Cambria" w:eastAsia="Cambria" w:hAnsi="Cambria"/>
      <w:color w:val="000000"/>
    </w:rPr>
  </w:style>
  <w:style w:customStyle="1" w:styleId="VerbatimChar" w:type="character">
    <w:name w:val="Verbatim Char"/>
    <w:basedOn w:val="BodyTextChar"/>
    <w:rPr>
      <w:rFonts w:ascii="Cambria" w:cs="Cambria" w:eastAsia="Cambria" w:hAnsi="Cambria"/>
      <w:color w:val="000000"/>
      <w:sz w:val="22"/>
    </w:rPr>
  </w:style>
  <w:style w:customStyle="1" w:styleId="SectionNumber" w:type="character">
    <w:name w:val="Section Number"/>
    <w:basedOn w:val="BodyTextChar"/>
    <w:rPr>
      <w:rFonts w:ascii="Cambria" w:cs="Cambria" w:eastAsia="Cambria" w:hAnsi="Cambria"/>
      <w:color w:val="000000"/>
    </w:rPr>
  </w:style>
  <w:style w:styleId="FootnoteReference" w:type="character">
    <w:name w:val="Footnote Reference"/>
    <w:basedOn w:val="BodyTextChar"/>
    <w:rPr>
      <w:rFonts w:ascii="Cambria" w:cs="Cambria" w:eastAsia="Cambria" w:hAnsi="Cambria"/>
      <w:color w:val="000000"/>
      <w:vertAlign w:val="superscript"/>
    </w:rPr>
  </w:style>
  <w:style w:styleId="Hyperlink" w:type="character">
    <w:name w:val="Hyperlink"/>
    <w:basedOn w:val="BodyTextChar"/>
    <w:rPr>
      <w:rFonts w:ascii="Cambria" w:cs="Cambria" w:eastAsia="Cambria" w:hAnsi="Cambria"/>
      <w:color w:val="1F6E6E"/>
    </w:rPr>
  </w:style>
  <w:style w:styleId="TOCHeading" w:type="paragraph">
    <w:name w:val="TOC Heading"/>
    <w:basedOn w:val="Heading1"/>
    <w:next w:val="BodyText"/>
    <w:uiPriority w:val="39"/>
    <w:unhideWhenUsed/>
    <w:qFormat/>
    <w:pPr>
      <w:spacing w:before="240" w:line="259" w:lineRule="auto"/>
      <w:outlineLvl w:val="9"/>
    </w:pPr>
    <w:rPr>
      <w:rFonts w:ascii="Cambria" w:cs="Cambria" w:eastAsia="Cambria" w:hAnsi="Cambria"/>
      <w:b w:val="0"/>
      <w:bCs w:val="0"/>
      <w:color w:val="000000"/>
    </w:rPr>
  </w:style>
  <w:style w:type="paragraph" w:customStyle="1" w:styleId="CoverKicker">
    <w:name w:val="Cover Kicker"/>
    <w:basedOn w:val="BodyText"/>
    <w:qFormat/>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20" Type="http://schemas.openxmlformats.org/officeDocument/2006/relationships/hyperlink" Target="https://nhilaw.com/forms/f3-1.html" TargetMode="External"/><Relationship Id="rId21" Type="http://schemas.openxmlformats.org/officeDocument/2006/relationships/hyperlink" Target="https://nhilaw.com/forms/f7-3.html" TargetMode="External"/><Relationship Id="rId22" Type="http://schemas.openxmlformats.org/officeDocument/2006/relationships/hyperlink" Target="https://nhilaw.com/issues/a3.html" TargetMode="External"/><Relationship Id="rId23" Type="http://schemas.openxmlformats.org/officeDocument/2006/relationships/hyperlink" Target="https://nhilaw.com/issues/f7.html" TargetMode="Externa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footer" Target="footer3.xml"/><Relationship Id="rId14" Type="http://schemas.openxmlformats.org/officeDocument/2006/relationships/header" Target="header3.xml"/><Relationship Id="rId15" Type="http://schemas.openxmlformats.org/officeDocument/2006/relationships/header" Target="header4.xml"/><Relationship Id="rId16" Type="http://schemas.openxmlformats.org/officeDocument/2006/relationships/footer" Target="footer4.xml"/></Relationships>
</file>

<file path=word/_rels/footnotes.xml.rels><?xml version='1.0' encoding='UTF-8' standalone='yes'?>
<Relationships xmlns="http://schemas.openxmlformats.org/package/2006/relationships"><Relationship Id="rId20" Type="http://schemas.openxmlformats.org/officeDocument/2006/relationships/hyperlink" Target="https://nhilaw.com/forms/f3-1.html" TargetMode="External"/><Relationship Id="rId21" Type="http://schemas.openxmlformats.org/officeDocument/2006/relationships/hyperlink" Target="https://nhilaw.com/forms/f7-3.html" TargetMode="External"/><Relationship Id="rId22" Type="http://schemas.openxmlformats.org/officeDocument/2006/relationships/hyperlink" Target="https://nhilaw.com/issues/a3.html" TargetMode="External"/><Relationship Id="rId23" Type="http://schemas.openxmlformats.org/officeDocument/2006/relationships/hyperlink" Target="https://nhilaw.com/issues/f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 F7-4. Notice Letter to the FAA and the Department of War Announcing a Peaceful Contact Site</dc:title>
  <dc:creator>nhilaw.com</dc:creator>
  <cp:keywords/>
  <dcterms:created xsi:type="dcterms:W3CDTF">2026-10-19T03:15:38Z</dcterms:created>
  <dcterms:modified xsi:type="dcterms:W3CDTF">2026-10-19T03:15:38Z</dcterms:modified>
  <dc:description>Sample template for use by or with a licensed attorney. Not legal advice. Laws differ by jurisdiction and change; adapt the document to your facts and check every citation before relying on it. Version 1.10, October 2026. Legal information, not legal advi</dc:description>
</cp:coreProperties>
</file>

<file path=docProps/custom.xml><?xml version="1.0" encoding="utf-8"?>
<Properties xmlns="http://schemas.openxmlformats.org/officeDocument/2006/custom-properties" xmlns:vt="http://schemas.openxmlformats.org/officeDocument/2006/docPropsVTypes"/>
</file>