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Safe-Harbor Zones for Contact: Creating a Protected Place for Humans and NHI to Meet</w:t>
      </w:r>
    </w:p>
    <w:p>
      <w:pPr>
        <w:pStyle w:val="Subtitle"/>
      </w:pPr>
      <w:r>
        <w:t xml:space="preserve">Version 1.10 · October 2026 · nhilaw.com/issues/f7.html</w:t>
      </w:r>
    </w:p>
    <w:p>
      <w:pPr>
        <w:pStyle w:val="FirstParagraph"/>
      </w:pPr>
      <w:r>
        <w:rPr>
          <w:iCs/>
          <w:i/>
        </w:rPr>
        <w:t xml:space="preserve">Version 1.10, October 2026. Legal information, not legal advice. Published by the</w:t>
      </w:r>
      <w:r>
        <w:rPr>
          <w:iCs/>
          <w:i/>
        </w:rPr>
        <w:t xml:space="preserve"> </w:t>
      </w:r>
      <w:hyperlink r:id="rId20">
        <w:r>
          <w:rPr>
            <w:rStyle w:val="Hyperlink"/>
            <w:iCs/>
            <w:i/>
          </w:rPr>
          <w:t xml:space="preserve">Emergent Frontiers Institute</w:t>
        </w:r>
      </w:hyperlink>
      <w:r>
        <w:rPr>
          <w:iCs/>
          <w:i/>
        </w:rPr>
        <w:t xml:space="preserve"> </w:t>
      </w:r>
      <w:r>
        <w:rPr>
          <w:iCs/>
          <w:i/>
        </w:rPr>
        <w:t xml:space="preserve">(NHI Law is not a law firm). Citations checked in October 2026; check every citation before relying on it.</w:t>
      </w:r>
    </w:p>
    <w:p>
      <w:pPr>
        <w:pStyle w:val="BodyText"/>
      </w:pPr>
      <w:r>
        <w:rPr>
          <w:bCs/>
          <w:b/>
        </w:rPr>
        <w:t xml:space="preserve">Premise.</w:t>
      </w:r>
      <w:r>
        <w:t xml:space="preserve"> </w:t>
      </w:r>
      <w:r>
        <w:t xml:space="preserve">Multiple sources allege that government agencies and their contractors bring down craft in order to</w:t>
      </w:r>
      <w:r>
        <w:t xml:space="preserve"> </w:t>
      </w:r>
      <w:r>
        <w:t xml:space="preserve">seize the vehicles and any occupants (</w:t>
      </w:r>
      <w:hyperlink r:id="rId21">
        <w:r>
          <w:rPr>
            <w:rStyle w:val="Hyperlink"/>
          </w:rPr>
          <w:t xml:space="preserve">Issue F2</w:t>
        </w:r>
      </w:hyperlink>
      <w:r>
        <w:t xml:space="preserve">). This analysis assumes those allegations are true and asks how a</w:t>
      </w:r>
      <w:r>
        <w:t xml:space="preserve"> </w:t>
      </w:r>
      <w:r>
        <w:t xml:space="preserve">private organization, such as a nonprofit, could create a place where craft and their occupants would be protected</w:t>
      </w:r>
      <w:r>
        <w:t xml:space="preserve"> </w:t>
      </w:r>
      <w:r>
        <w:t xml:space="preserve">from attack and harassment, so that humans and non-human intelligences (NHI) could meet and hold discussions. It</w:t>
      </w:r>
      <w:r>
        <w:t xml:space="preserve"> </w:t>
      </w:r>
      <w:r>
        <w:t xml:space="preserve">also addresses the risk that such a project would be treated as diplomacy or as the performance of a governmental</w:t>
      </w:r>
      <w:r>
        <w:t xml:space="preserve"> </w:t>
      </w:r>
      <w:r>
        <w:t xml:space="preserve">function.</w:t>
      </w:r>
    </w:p>
    <w:p>
      <w:r>
        <w:pict>
          <v:rect style="width:0;height:1.5pt" o:hralign="center" o:hrstd="t" o:hr="t"/>
        </w:pict>
      </w:r>
    </w:p>
    <w:bookmarkStart w:id="25" w:name="key-points"/>
    <w:p>
      <w:pPr>
        <w:pStyle w:val="Heading2"/>
      </w:pPr>
      <w:r>
        <w:t xml:space="preserve">Key points</w:t>
      </w:r>
    </w:p>
    <w:p>
      <w:pPr>
        <w:pStyle w:val="Compact"/>
        <w:numPr>
          <w:ilvl w:val="0"/>
          <w:numId w:val="1001"/>
        </w:numPr>
      </w:pPr>
      <w:r>
        <w:t xml:space="preserve">No private organization can guarantee protection against the federal government. The United States</w:t>
      </w:r>
      <w:r>
        <w:t xml:space="preserve"> </w:t>
      </w:r>
      <w:r>
        <w:t xml:space="preserve">“</w:t>
      </w:r>
      <w:r>
        <w:t xml:space="preserve">has</w:t>
      </w:r>
      <w:r>
        <w:t xml:space="preserve"> </w:t>
      </w:r>
      <w:r>
        <w:t xml:space="preserve">exclusive sovereignty of airspace of the United States</w:t>
      </w:r>
      <w:r>
        <w:t xml:space="preserve">”</w:t>
      </w:r>
      <w:r>
        <w:t xml:space="preserve"> </w:t>
      </w:r>
      <w:r>
        <w:t xml:space="preserve">(49 U.S.C. §40103(a)(1)), the President claims Article II</w:t>
      </w:r>
      <w:r>
        <w:t xml:space="preserve"> </w:t>
      </w:r>
      <w:r>
        <w:t xml:space="preserve">authority to bring down unidentified objects, and 10 U.S.C. §130i lets the Defense Department seize or destroy</w:t>
      </w:r>
      <w:r>
        <w:t xml:space="preserve"> </w:t>
      </w:r>
      <w:r>
        <w:t xml:space="preserve">“</w:t>
      </w:r>
      <w:r>
        <w:t xml:space="preserve">unmanned aircraft</w:t>
      </w:r>
      <w:r>
        <w:t xml:space="preserve">”</w:t>
      </w:r>
      <w:r>
        <w:t xml:space="preserve"> </w:t>
      </w:r>
      <w:r>
        <w:t xml:space="preserve">that threaten covered facilities.</w:t>
      </w:r>
    </w:p>
    <w:p>
      <w:pPr>
        <w:pStyle w:val="Compact"/>
        <w:numPr>
          <w:ilvl w:val="0"/>
          <w:numId w:val="1001"/>
        </w:numPr>
      </w:pPr>
      <w:r>
        <w:t xml:space="preserve">What a private host can do is exclude private actors from its land, raise the legal and political cost of any</w:t>
      </w:r>
      <w:r>
        <w:t xml:space="preserve"> </w:t>
      </w:r>
      <w:r>
        <w:t xml:space="preserve">attack, and build the record that makes accountability possible. A real guarantee requires a statute (</w:t>
      </w:r>
      <w:hyperlink r:id="rId22">
        <w:r>
          <w:rPr>
            <w:rStyle w:val="Hyperlink"/>
          </w:rPr>
          <w:t xml:space="preserve">Form F7-1</w:t>
        </w:r>
      </w:hyperlink>
      <w:r>
        <w:t xml:space="preserve">)</w:t>
      </w:r>
      <w:r>
        <w:t xml:space="preserve"> </w:t>
      </w:r>
      <w:r>
        <w:t xml:space="preserve">or a foreign host state.</w:t>
      </w:r>
    </w:p>
    <w:p>
      <w:pPr>
        <w:pStyle w:val="Compact"/>
        <w:numPr>
          <w:ilvl w:val="0"/>
          <w:numId w:val="1001"/>
        </w:numPr>
      </w:pPr>
      <w:r>
        <w:t xml:space="preserve">States can add a meaningful layer: they may refuse to let their officers help with a seizure (</w:t>
      </w:r>
      <w:r>
        <w:rPr>
          <w:iCs/>
          <w:i/>
        </w:rPr>
        <w:t xml:space="preserve">Printz</w:t>
      </w:r>
      <w:r>
        <w:t xml:space="preserve">;</w:t>
      </w:r>
      <w:r>
        <w:t xml:space="preserve"> </w:t>
      </w:r>
      <w:r>
        <w:rPr>
          <w:iCs/>
          <w:i/>
        </w:rPr>
        <w:t xml:space="preserve">Murphy v.</w:t>
      </w:r>
      <w:r>
        <w:rPr>
          <w:iCs/>
          <w:i/>
        </w:rPr>
        <w:t xml:space="preserve"> </w:t>
      </w:r>
      <w:r>
        <w:rPr>
          <w:iCs/>
          <w:i/>
        </w:rPr>
        <w:t xml:space="preserve">NCAA</w:t>
      </w:r>
      <w:r>
        <w:t xml:space="preserve">) and may protect the zone against private interference, but they cannot bind federal officers or regulate</w:t>
      </w:r>
      <w:r>
        <w:t xml:space="preserve"> </w:t>
      </w:r>
      <w:r>
        <w:t xml:space="preserve">airspace (</w:t>
      </w:r>
      <w:hyperlink r:id="rId23">
        <w:r>
          <w:rPr>
            <w:rStyle w:val="Hyperlink"/>
          </w:rPr>
          <w:t xml:space="preserve">Form F7-2</w:t>
        </w:r>
      </w:hyperlink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The diplomacy risk is manageable. The Logan Act requires a</w:t>
      </w:r>
      <w:r>
        <w:t xml:space="preserve"> </w:t>
      </w:r>
      <w:r>
        <w:t xml:space="preserve">“</w:t>
      </w:r>
      <w:r>
        <w:t xml:space="preserve">foreign government,</w:t>
      </w:r>
      <w:r>
        <w:t xml:space="preserve">”</w:t>
      </w:r>
      <w:r>
        <w:t xml:space="preserve"> </w:t>
      </w:r>
      <w:r>
        <w:t xml:space="preserve">which only the President can</w:t>
      </w:r>
      <w:r>
        <w:t xml:space="preserve"> </w:t>
      </w:r>
      <w:r>
        <w:t xml:space="preserve">recognize (</w:t>
      </w:r>
      <w:r>
        <w:rPr>
          <w:iCs/>
          <w:i/>
        </w:rPr>
        <w:t xml:space="preserve">Zivotofsky</w:t>
      </w:r>
      <w:r>
        <w:t xml:space="preserve">); FARA and 18 U.S.C. §951 are the realistic exposures for a human who takes direction from</w:t>
      </w:r>
      <w:r>
        <w:t xml:space="preserve"> </w:t>
      </w:r>
      <w:r>
        <w:t xml:space="preserve">an NHI group (</w:t>
      </w:r>
      <w:hyperlink r:id="rId24">
        <w:r>
          <w:rPr>
            <w:rStyle w:val="Hyperlink"/>
          </w:rPr>
          <w:t xml:space="preserve">Issue F3</w:t>
        </w:r>
      </w:hyperlink>
      <w:r>
        <w:t xml:space="preserve">). Avoid every trapping of sovereignty: treaties, embassies, ambassadors, passports, or a</w:t>
      </w:r>
      <w:r>
        <w:t xml:space="preserve"> </w:t>
      </w:r>
      <w:r>
        <w:t xml:space="preserve">claim of</w:t>
      </w:r>
      <w:r>
        <w:t xml:space="preserve"> </w:t>
      </w:r>
      <w:r>
        <w:t xml:space="preserve">“</w:t>
      </w:r>
      <w:r>
        <w:t xml:space="preserve">neutral territory.</w:t>
      </w:r>
      <w:r>
        <w:t xml:space="preserve">”</w:t>
      </w:r>
    </w:p>
    <w:p>
      <w:pPr>
        <w:pStyle w:val="Compact"/>
        <w:numPr>
          <w:ilvl w:val="0"/>
          <w:numId w:val="1001"/>
        </w:numPr>
      </w:pPr>
      <w:r>
        <w:t xml:space="preserve">Frame the zone as a private scientific and humanitarian meeting place run under the host’s own property rights,</w:t>
      </w:r>
      <w:r>
        <w:t xml:space="preserve"> </w:t>
      </w:r>
      <w:r>
        <w:t xml:space="preserve">with a one-sided host’s declaration, a published code of conduct, and written notice to the authorities (Forms</w:t>
      </w:r>
      <w:r>
        <w:t xml:space="preserve"> </w:t>
      </w:r>
      <w:r>
        <w:t xml:space="preserve">F7-3, F7-4).</w:t>
      </w:r>
    </w:p>
    <w:p>
      <w:pPr>
        <w:pStyle w:val="Compact"/>
        <w:numPr>
          <w:ilvl w:val="0"/>
          <w:numId w:val="1001"/>
        </w:numPr>
      </w:pPr>
      <w:r>
        <w:t xml:space="preserve">Plan for the statutes that could apply at the meeting itself: export controls on technical data, foreign-contact</w:t>
      </w:r>
      <w:r>
        <w:t xml:space="preserve"> </w:t>
      </w:r>
      <w:r>
        <w:t xml:space="preserve">reporting by cleared participants, public health powers, and immigration and customs rules if occupants leave</w:t>
      </w:r>
      <w:r>
        <w:t xml:space="preserve"> </w:t>
      </w:r>
      <w:r>
        <w:t xml:space="preserve">their craft.</w:t>
      </w:r>
    </w:p>
    <w:p>
      <w:r>
        <w:pict>
          <v:rect style="width:0;height:1.5pt" o:hralign="center" o:hrstd="t" o:hr="t"/>
        </w:pict>
      </w:r>
    </w:p>
    <w:bookmarkEnd w:id="25"/>
    <w:bookmarkStart w:id="28" w:name="summary"/>
    <w:p>
      <w:pPr>
        <w:pStyle w:val="Heading2"/>
      </w:pPr>
      <w:r>
        <w:t xml:space="preserve">1. Summary</w:t>
      </w:r>
    </w:p>
    <w:p>
      <w:pPr>
        <w:pStyle w:val="FirstParagraph"/>
      </w:pPr>
      <w:r>
        <w:t xml:space="preserve">A private safe-harbor zone cannot be made legally immune from federal action. Federal law gives the United States</w:t>
      </w:r>
      <w:r>
        <w:t xml:space="preserve"> </w:t>
      </w:r>
      <w:r>
        <w:t xml:space="preserve">exclusive sovereignty over the nation’s airspace, gives the Federal Aviation Administration control of its use, and</w:t>
      </w:r>
      <w:r>
        <w:t xml:space="preserve"> </w:t>
      </w:r>
      <w:r>
        <w:t xml:space="preserve">gives the Defense Department statutory authority to seize or destroy unmanned aircraft that threaten designated</w:t>
      </w:r>
      <w:r>
        <w:t xml:space="preserve"> </w:t>
      </w:r>
      <w:r>
        <w:t xml:space="preserve">facilities (</w:t>
      </w:r>
      <w:hyperlink r:id="rId21">
        <w:r>
          <w:rPr>
            <w:rStyle w:val="Hyperlink"/>
          </w:rPr>
          <w:t xml:space="preserve">Issue F2</w:t>
        </w:r>
      </w:hyperlink>
      <w:r>
        <w:t xml:space="preserve"> </w:t>
      </w:r>
      <w:r>
        <w:t xml:space="preserve">§2.1). The executive branch has also used force against unidentified objects on its own</w:t>
      </w:r>
      <w:r>
        <w:t xml:space="preserve"> </w:t>
      </w:r>
      <w:r>
        <w:t xml:space="preserve">constitutional authority. A nonprofit’s declaration cannot change any of that.</w:t>
      </w:r>
    </w:p>
    <w:p>
      <w:pPr>
        <w:pStyle w:val="BodyText"/>
      </w:pPr>
      <w:r>
        <w:t xml:space="preserve">A zone can still provide real protection of three kinds. Against private actors, including contractors acting</w:t>
      </w:r>
      <w:r>
        <w:t xml:space="preserve"> </w:t>
      </w:r>
      <w:r>
        <w:t xml:space="preserve">without federal authority, ordinary property, trespass, and tort law apply, and a state statute can add criminal</w:t>
      </w:r>
      <w:r>
        <w:t xml:space="preserve"> </w:t>
      </w:r>
      <w:r>
        <w:t xml:space="preserve">penalties. Against state and local government, a state can forbid its officers to take part in any seizure.</w:t>
      </w:r>
      <w:r>
        <w:t xml:space="preserve"> </w:t>
      </w:r>
      <w:r>
        <w:t xml:space="preserve">Against the federal government, the protection is practical: a publicly announced, continuously observed site</w:t>
      </w:r>
      <w:r>
        <w:t xml:space="preserve"> </w:t>
      </w:r>
      <w:r>
        <w:t xml:space="preserve">whose peaceful purpose has been stated in writing to the responsible agencies makes any attack visible and</w:t>
      </w:r>
      <w:r>
        <w:t xml:space="preserve"> </w:t>
      </w:r>
      <w:r>
        <w:t xml:space="preserve">deliberate, and preserves the evidence needed for habeas petitions (Forms F1-1, F1-2), tort claims against</w:t>
      </w:r>
      <w:r>
        <w:t xml:space="preserve"> </w:t>
      </w:r>
      <w:r>
        <w:t xml:space="preserve">contractors (</w:t>
      </w:r>
      <w:r>
        <w:rPr>
          <w:iCs/>
          <w:i/>
        </w:rPr>
        <w:t xml:space="preserve">Hencely</w:t>
      </w:r>
      <w:r>
        <w:t xml:space="preserve">,</w:t>
      </w:r>
      <w:r>
        <w:t xml:space="preserve"> </w:t>
      </w:r>
      <w:hyperlink r:id="rId26">
        <w:r>
          <w:rPr>
            <w:rStyle w:val="Hyperlink"/>
          </w:rPr>
          <w:t xml:space="preserve">Issue A1</w:t>
        </w:r>
      </w:hyperlink>
      <w:r>
        <w:t xml:space="preserve"> </w:t>
      </w:r>
      <w:r>
        <w:t xml:space="preserve">§8), congressional oversight, and later legislation.</w:t>
      </w:r>
    </w:p>
    <w:p>
      <w:pPr>
        <w:pStyle w:val="BodyText"/>
      </w:pPr>
      <w:r>
        <w:t xml:space="preserve">The strongest protection would come from Congress. A statute could designate protected zones, forbid the use of</w:t>
      </w:r>
      <w:r>
        <w:t xml:space="preserve"> </w:t>
      </w:r>
      <w:r>
        <w:t xml:space="preserve">force against craft in or approaching them except against an imminent threat to human life, forbid the seizure or</w:t>
      </w:r>
      <w:r>
        <w:t xml:space="preserve"> </w:t>
      </w:r>
      <w:r>
        <w:t xml:space="preserve">detention of occupants, withdraw the zones from §130i, and provide independent monitoring and remedies (</w:t>
      </w:r>
      <w:hyperlink r:id="rId22">
        <w:r>
          <w:rPr>
            <w:rStyle w:val="Hyperlink"/>
          </w:rPr>
          <w:t xml:space="preserve">Form F7-1</w:t>
        </w:r>
      </w:hyperlink>
      <w:r>
        <w:t xml:space="preserve">).</w:t>
      </w:r>
      <w:r>
        <w:t xml:space="preserve"> </w:t>
      </w:r>
      <w:r>
        <w:t xml:space="preserve">That statute would complement the interim protection statute in</w:t>
      </w:r>
      <w:r>
        <w:t xml:space="preserve"> </w:t>
      </w:r>
      <w:hyperlink r:id="rId27">
        <w:r>
          <w:rPr>
            <w:rStyle w:val="Hyperlink"/>
          </w:rPr>
          <w:t xml:space="preserve">Form F2-1</w:t>
        </w:r>
      </w:hyperlink>
      <w:r>
        <w:t xml:space="preserve">.</w:t>
      </w:r>
    </w:p>
    <w:p>
      <w:pPr>
        <w:pStyle w:val="BodyText"/>
      </w:pPr>
      <w:r>
        <w:t xml:space="preserve">The diplomacy and governmental-function risks are real but avoidable. The host must speak only for itself, make no</w:t>
      </w:r>
      <w:r>
        <w:t xml:space="preserve"> </w:t>
      </w:r>
      <w:r>
        <w:t xml:space="preserve">agreements on behalf of the United States or humanity, claim no sovereignty or immunity, and keep any human who acts</w:t>
      </w:r>
      <w:r>
        <w:t xml:space="preserve"> </w:t>
      </w:r>
      <w:r>
        <w:t xml:space="preserve">at an NHI group’s direction within the foreign-agent statutes.</w:t>
      </w:r>
    </w:p>
    <w:p>
      <w:r>
        <w:pict>
          <v:rect style="width:0;height:1.5pt" o:hralign="center" o:hrstd="t" o:hr="t"/>
        </w:pict>
      </w:r>
    </w:p>
    <w:bookmarkEnd w:id="28"/>
    <w:bookmarkStart w:id="31" w:name="X9f4d92f07f6012009c2ff2905fdd9a3192eaf8c"/>
    <w:p>
      <w:pPr>
        <w:pStyle w:val="Heading2"/>
      </w:pPr>
      <w:r>
        <w:t xml:space="preserve">2. What a private guarantee can and cannot do</w:t>
      </w:r>
    </w:p>
    <w:bookmarkStart w:id="29" w:name="X968349d3260f551017467b7304bab705a348792"/>
    <w:p>
      <w:pPr>
        <w:pStyle w:val="Heading3"/>
      </w:pPr>
      <w:r>
        <w:t xml:space="preserve">2.1 Federal control of airspace and the use of force</w:t>
      </w:r>
    </w:p>
    <w:p>
      <w:pPr>
        <w:pStyle w:val="Compact"/>
        <w:numPr>
          <w:ilvl w:val="0"/>
          <w:numId w:val="1002"/>
        </w:numPr>
      </w:pPr>
      <w:r>
        <w:rPr>
          <w:bCs/>
          <w:b/>
        </w:rPr>
        <w:t xml:space="preserve">Sovereignty.</w:t>
      </w:r>
      <w:r>
        <w:t xml:space="preserve"> </w:t>
      </w:r>
      <w:r>
        <w:t xml:space="preserve">“</w:t>
      </w:r>
      <w:r>
        <w:t xml:space="preserve">The United States Government has exclusive sovereignty of airspace of the United States.</w:t>
      </w:r>
      <w:r>
        <w:t xml:space="preserve">”</w:t>
      </w:r>
      <w:r>
        <w:t xml:space="preserve"> </w:t>
      </w:r>
      <w:r>
        <w:t xml:space="preserve">49</w:t>
      </w:r>
      <w:r>
        <w:t xml:space="preserve"> </w:t>
      </w:r>
      <w:r>
        <w:t xml:space="preserve">U.S.C. §40103(a)(1). The FAA Administrator assigns the use of the navigable airspace and may restrict it (§40103(b)</w:t>
      </w:r>
      <w:r>
        <w:t xml:space="preserve"> </w:t>
      </w:r>
      <w:r>
        <w:t xml:space="preserve">(1)-(2)).</w:t>
      </w:r>
    </w:p>
    <w:p>
      <w:pPr>
        <w:pStyle w:val="Compact"/>
        <w:numPr>
          <w:ilvl w:val="0"/>
          <w:numId w:val="1002"/>
        </w:numPr>
      </w:pPr>
      <w:r>
        <w:rPr>
          <w:bCs/>
          <w:b/>
        </w:rPr>
        <w:t xml:space="preserve">National defense airspace.</w:t>
      </w:r>
      <w:r>
        <w:t xml:space="preserve"> </w:t>
      </w:r>
      <w:r>
        <w:t xml:space="preserve">The Administrator, in consultation with the Secretary of Defense, must establish</w:t>
      </w:r>
      <w:r>
        <w:t xml:space="preserve"> </w:t>
      </w:r>
      <w:r>
        <w:t xml:space="preserve">areas</w:t>
      </w:r>
      <w:r>
        <w:t xml:space="preserve"> </w:t>
      </w:r>
      <w:r>
        <w:t xml:space="preserve">“</w:t>
      </w:r>
      <w:r>
        <w:t xml:space="preserve">necessary in the interest of national defense</w:t>
      </w:r>
      <w:r>
        <w:t xml:space="preserve">”</w:t>
      </w:r>
      <w:r>
        <w:t xml:space="preserve"> </w:t>
      </w:r>
      <w:r>
        <w:t xml:space="preserve">and restrict or prohibit flight of civil aircraft</w:t>
      </w:r>
      <w:r>
        <w:t xml:space="preserve"> </w:t>
      </w:r>
      <w:r>
        <w:t xml:space="preserve">“</w:t>
      </w:r>
      <w:r>
        <w:t xml:space="preserve">that the</w:t>
      </w:r>
      <w:r>
        <w:t xml:space="preserve"> </w:t>
      </w:r>
      <w:r>
        <w:t xml:space="preserve">Administrator cannot identify, locate, and control</w:t>
      </w:r>
      <w:r>
        <w:t xml:space="preserve">”</w:t>
      </w:r>
      <w:r>
        <w:t xml:space="preserve"> </w:t>
      </w:r>
      <w:r>
        <w:t xml:space="preserve">(§40103(b)(3)). A knowing or willful violation is a crime (49</w:t>
      </w:r>
      <w:r>
        <w:t xml:space="preserve"> </w:t>
      </w:r>
      <w:r>
        <w:t xml:space="preserve">U.S.C. §46307). A zone must sit well outside such areas, and its host must never invite or guide a craft into</w:t>
      </w:r>
      <w:r>
        <w:t xml:space="preserve"> </w:t>
      </w:r>
      <w:r>
        <w:t xml:space="preserve">them.</w:t>
      </w:r>
    </w:p>
    <w:p>
      <w:pPr>
        <w:pStyle w:val="Compact"/>
        <w:numPr>
          <w:ilvl w:val="0"/>
          <w:numId w:val="1002"/>
        </w:numPr>
      </w:pPr>
      <w:r>
        <w:rPr>
          <w:bCs/>
          <w:b/>
        </w:rPr>
        <w:t xml:space="preserve">Counter-UAS authority.</w:t>
      </w:r>
      <w:r>
        <w:t xml:space="preserve"> </w:t>
      </w:r>
      <w:r>
        <w:t xml:space="preserve">10 U.S.C. §130i lets the Secretary of Defense</w:t>
      </w:r>
      <w:r>
        <w:t xml:space="preserve"> </w:t>
      </w:r>
      <w:r>
        <w:t xml:space="preserve">“</w:t>
      </w:r>
      <w:r>
        <w:t xml:space="preserve">[s]eize or otherwise confiscate</w:t>
      </w:r>
      <w:r>
        <w:t xml:space="preserve">”</w:t>
      </w:r>
      <w:r>
        <w:t xml:space="preserve"> </w:t>
      </w:r>
      <w:r>
        <w:t xml:space="preserve">and</w:t>
      </w:r>
      <w:r>
        <w:t xml:space="preserve"> </w:t>
      </w:r>
      <w:r>
        <w:t xml:space="preserve">“</w:t>
      </w:r>
      <w:r>
        <w:t xml:space="preserve">[u]se reasonable force to disable, damage, or destroy</w:t>
      </w:r>
      <w:r>
        <w:t xml:space="preserve">”</w:t>
      </w:r>
      <w:r>
        <w:t xml:space="preserve"> </w:t>
      </w:r>
      <w:r>
        <w:t xml:space="preserve">an unmanned aircraft that threatens a</w:t>
      </w:r>
      <w:r>
        <w:t xml:space="preserve"> </w:t>
      </w:r>
      <w:r>
        <w:t xml:space="preserve">“</w:t>
      </w:r>
      <w:r>
        <w:t xml:space="preserve">covered facility or</w:t>
      </w:r>
      <w:r>
        <w:t xml:space="preserve"> </w:t>
      </w:r>
      <w:r>
        <w:t xml:space="preserve">asset</w:t>
      </w:r>
      <w:r>
        <w:t xml:space="preserve">”</w:t>
      </w:r>
      <w:r>
        <w:t xml:space="preserve"> </w:t>
      </w:r>
      <w:r>
        <w:t xml:space="preserve">(§130i(a), (b)(1)(E)-(F)), and a seized aircraft</w:t>
      </w:r>
      <w:r>
        <w:t xml:space="preserve"> </w:t>
      </w:r>
      <w:r>
        <w:t xml:space="preserve">“</w:t>
      </w:r>
      <w:r>
        <w:t xml:space="preserve">is subject to forfeiture</w:t>
      </w:r>
      <w:r>
        <w:t xml:space="preserve">”</w:t>
      </w:r>
      <w:r>
        <w:t xml:space="preserve"> </w:t>
      </w:r>
      <w:r>
        <w:t xml:space="preserve">(§130i(c)). Covered facilities</w:t>
      </w:r>
      <w:r>
        <w:t xml:space="preserve"> </w:t>
      </w:r>
      <w:r>
        <w:t xml:space="preserve">are designated by the Secretary and relate to missions such as nuclear deterrence, missile defense, national</w:t>
      </w:r>
      <w:r>
        <w:t xml:space="preserve"> </w:t>
      </w:r>
      <w:r>
        <w:t xml:space="preserve">security space, and Major Range and Test Facility Bases (§130i(j)(3)). Siting the zone far from any such facility</w:t>
      </w:r>
      <w:r>
        <w:t xml:space="preserve"> </w:t>
      </w:r>
      <w:r>
        <w:t xml:space="preserve">removes the statutory basis for force, though not the claimed Article II basis (</w:t>
      </w:r>
      <w:hyperlink r:id="rId21">
        <w:r>
          <w:rPr>
            <w:rStyle w:val="Hyperlink"/>
          </w:rPr>
          <w:t xml:space="preserve">Issue F2</w:t>
        </w:r>
      </w:hyperlink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Cs/>
          <w:b/>
        </w:rPr>
        <w:t xml:space="preserve">Article II.</w:t>
      </w:r>
      <w:r>
        <w:t xml:space="preserve"> </w:t>
      </w:r>
      <w:r>
        <w:t xml:space="preserve">The executive has relied on inherent authority to bring down unidentified objects (the February</w:t>
      </w:r>
      <w:r>
        <w:t xml:space="preserve"> </w:t>
      </w:r>
      <w:r>
        <w:t xml:space="preserve">2023 shootdowns). No statute limits that authority as to non-threatening craft.</w:t>
      </w:r>
    </w:p>
    <w:bookmarkEnd w:id="29"/>
    <w:bookmarkStart w:id="30" w:name="what-remains-for-a-private-host"/>
    <w:p>
      <w:pPr>
        <w:pStyle w:val="Heading3"/>
      </w:pPr>
      <w:r>
        <w:t xml:space="preserve">2.2 What remains for a private host</w:t>
      </w:r>
    </w:p>
    <w:p>
      <w:pPr>
        <w:pStyle w:val="Compact"/>
        <w:numPr>
          <w:ilvl w:val="0"/>
          <w:numId w:val="1003"/>
        </w:numPr>
      </w:pPr>
      <w:r>
        <w:t xml:space="preserve">Exclusion of private persons from its land and the low airspace it can reasonably use.</w:t>
      </w:r>
      <w:r>
        <w:t xml:space="preserve"> </w:t>
      </w:r>
      <w:r>
        <w:rPr>
          <w:iCs/>
          <w:i/>
        </w:rPr>
        <w:t xml:space="preserve">United States v. Causby</w:t>
      </w:r>
      <w:r>
        <w:t xml:space="preserve">,</w:t>
      </w:r>
      <w:r>
        <w:t xml:space="preserve"> </w:t>
      </w:r>
      <w:r>
        <w:t xml:space="preserve">328 U.S. 256 (1946);</w:t>
      </w:r>
      <w:r>
        <w:t xml:space="preserve"> </w:t>
      </w:r>
      <w:r>
        <w:rPr>
          <w:iCs/>
          <w:i/>
        </w:rPr>
        <w:t xml:space="preserve">Griggs v. Allegheny County</w:t>
      </w:r>
      <w:r>
        <w:t xml:space="preserve">, 369 U.S. 84 (1962). That right does not reach the navigable</w:t>
      </w:r>
      <w:r>
        <w:t xml:space="preserve"> </w:t>
      </w:r>
      <w:r>
        <w:t xml:space="preserve">airspace or lawful federal operations.</w:t>
      </w:r>
    </w:p>
    <w:p>
      <w:pPr>
        <w:pStyle w:val="Compact"/>
        <w:numPr>
          <w:ilvl w:val="0"/>
          <w:numId w:val="1003"/>
        </w:numPr>
      </w:pPr>
      <w:r>
        <w:t xml:space="preserve">Civil remedies against private actors, including contractors acting beyond any federal requirement or</w:t>
      </w:r>
      <w:r>
        <w:t xml:space="preserve"> </w:t>
      </w:r>
      <w:r>
        <w:t xml:space="preserve">authorization (</w:t>
      </w:r>
      <w:r>
        <w:rPr>
          <w:iCs/>
          <w:i/>
        </w:rPr>
        <w:t xml:space="preserve">Hencely v. Fluor Corp.</w:t>
      </w:r>
      <w:r>
        <w:t xml:space="preserve">, 608 U.S. 31 (2026)).</w:t>
      </w:r>
    </w:p>
    <w:p>
      <w:pPr>
        <w:pStyle w:val="Compact"/>
        <w:numPr>
          <w:ilvl w:val="0"/>
          <w:numId w:val="1003"/>
        </w:numPr>
      </w:pPr>
      <w:r>
        <w:t xml:space="preserve">The rights of its members and guests to assemble and to receive information (</w:t>
      </w:r>
      <w:hyperlink r:id="rId24">
        <w:r>
          <w:rPr>
            <w:rStyle w:val="Hyperlink"/>
          </w:rPr>
          <w:t xml:space="preserve">Issue F3</w:t>
        </w:r>
      </w:hyperlink>
      <w:r>
        <w:t xml:space="preserve">), which protect the meeting</w:t>
      </w:r>
      <w:r>
        <w:t xml:space="preserve"> </w:t>
      </w:r>
      <w:r>
        <w:t xml:space="preserve">itself against restrictions that are not narrowly tailored.</w:t>
      </w:r>
    </w:p>
    <w:p>
      <w:pPr>
        <w:pStyle w:val="Compact"/>
        <w:numPr>
          <w:ilvl w:val="0"/>
          <w:numId w:val="1003"/>
        </w:numPr>
      </w:pPr>
      <w:r>
        <w:t xml:space="preserve">Public attention, a documentary record, and the legal positions that follow from written notice.</w:t>
      </w:r>
    </w:p>
    <w:p>
      <w:r>
        <w:pict>
          <v:rect style="width:0;height:1.5pt" o:hralign="center" o:hrstd="t" o:hr="t"/>
        </w:pict>
      </w:r>
    </w:p>
    <w:bookmarkEnd w:id="30"/>
    <w:bookmarkEnd w:id="31"/>
    <w:bookmarkStart w:id="42" w:name="layers-of-protection"/>
    <w:p>
      <w:pPr>
        <w:pStyle w:val="Heading2"/>
      </w:pPr>
      <w:r>
        <w:t xml:space="preserve">3. Layers of protection</w:t>
      </w:r>
    </w:p>
    <w:bookmarkStart w:id="33" w:name="private-land-and-private-law"/>
    <w:p>
      <w:pPr>
        <w:pStyle w:val="Heading3"/>
      </w:pPr>
      <w:r>
        <w:t xml:space="preserve">3.1 Private land and private law</w:t>
      </w:r>
    </w:p>
    <w:p>
      <w:pPr>
        <w:pStyle w:val="FirstParagraph"/>
      </w:pPr>
      <w:r>
        <w:t xml:space="preserve">The site should be owned or held under a long lease by a dedicated entity, ideally with a conservation easement or</w:t>
      </w:r>
      <w:r>
        <w:t xml:space="preserve"> </w:t>
      </w:r>
      <w:r>
        <w:t xml:space="preserve">land-trust arrangement that prevents later sale or development. Posted boundaries, controlled access, and trained</w:t>
      </w:r>
      <w:r>
        <w:t xml:space="preserve"> </w:t>
      </w:r>
      <w:r>
        <w:t xml:space="preserve">security staff give force to trespass law. The host’s rules for visitors (</w:t>
      </w:r>
      <w:hyperlink r:id="rId32">
        <w:r>
          <w:rPr>
            <w:rStyle w:val="Hyperlink"/>
          </w:rPr>
          <w:t xml:space="preserve">Form F7-3</w:t>
        </w:r>
      </w:hyperlink>
      <w:r>
        <w:t xml:space="preserve">) become conditions of entry</w:t>
      </w:r>
      <w:r>
        <w:t xml:space="preserve"> </w:t>
      </w:r>
      <w:r>
        <w:t xml:space="preserve">that bind human participants.</w:t>
      </w:r>
    </w:p>
    <w:bookmarkEnd w:id="33"/>
    <w:bookmarkStart w:id="34" w:name="state-law"/>
    <w:p>
      <w:pPr>
        <w:pStyle w:val="Heading3"/>
      </w:pPr>
      <w:r>
        <w:t xml:space="preserve">3.2 State law</w:t>
      </w:r>
    </w:p>
    <w:p>
      <w:pPr>
        <w:pStyle w:val="FirstParagraph"/>
      </w:pPr>
      <w:r>
        <w:t xml:space="preserve">A state legislature can enact a</w:t>
      </w:r>
      <w:r>
        <w:t xml:space="preserve"> </w:t>
      </w:r>
      <w:r>
        <w:t xml:space="preserve">“</w:t>
      </w:r>
      <w:r>
        <w:t xml:space="preserve">peaceful contact zone</w:t>
      </w:r>
      <w:r>
        <w:t xml:space="preserve">”</w:t>
      </w:r>
      <w:r>
        <w:t xml:space="preserve"> </w:t>
      </w:r>
      <w:r>
        <w:t xml:space="preserve">statute (</w:t>
      </w:r>
      <w:hyperlink r:id="rId23">
        <w:r>
          <w:rPr>
            <w:rStyle w:val="Hyperlink"/>
          </w:rPr>
          <w:t xml:space="preserve">Form F7-2</w:t>
        </w:r>
      </w:hyperlink>
      <w:r>
        <w:t xml:space="preserve">). Within constitutional limits it can:</w:t>
      </w:r>
    </w:p>
    <w:p>
      <w:pPr>
        <w:pStyle w:val="Compact"/>
        <w:numPr>
          <w:ilvl w:val="0"/>
          <w:numId w:val="1004"/>
        </w:numPr>
      </w:pPr>
      <w:r>
        <w:rPr>
          <w:bCs/>
          <w:b/>
        </w:rPr>
        <w:t xml:space="preserve">Withhold state assistance.</w:t>
      </w:r>
      <w:r>
        <w:t xml:space="preserve"> </w:t>
      </w:r>
      <w:r>
        <w:t xml:space="preserve">The federal government may not require state or local officers to carry out a</w:t>
      </w:r>
      <w:r>
        <w:t xml:space="preserve"> </w:t>
      </w:r>
      <w:r>
        <w:t xml:space="preserve">federal program.</w:t>
      </w:r>
      <w:r>
        <w:t xml:space="preserve"> </w:t>
      </w:r>
      <w:r>
        <w:rPr>
          <w:iCs/>
          <w:i/>
        </w:rPr>
        <w:t xml:space="preserve">Printz v. United States</w:t>
      </w:r>
      <w:r>
        <w:t xml:space="preserve">, 521 U.S. 898 (1997);</w:t>
      </w:r>
      <w:r>
        <w:t xml:space="preserve"> </w:t>
      </w:r>
      <w:r>
        <w:rPr>
          <w:iCs/>
          <w:i/>
        </w:rPr>
        <w:t xml:space="preserve">New York v. United States</w:t>
      </w:r>
      <w:r>
        <w:t xml:space="preserve">, 505 U.S. 144 (1992);</w:t>
      </w:r>
      <w:r>
        <w:t xml:space="preserve"> </w:t>
      </w:r>
      <w:r>
        <w:rPr>
          <w:iCs/>
          <w:i/>
        </w:rPr>
        <w:t xml:space="preserve">Murphy v. NCAA</w:t>
      </w:r>
      <w:r>
        <w:t xml:space="preserve">, 584 U.S. 453 (2018). A state may therefore forbid its police and agencies to help locate, seize,</w:t>
      </w:r>
      <w:r>
        <w:t xml:space="preserve"> </w:t>
      </w:r>
      <w:r>
        <w:t xml:space="preserve">or detain a craft or occupant in a designated zone, except to protect human life.</w:t>
      </w:r>
    </w:p>
    <w:p>
      <w:pPr>
        <w:pStyle w:val="Compact"/>
        <w:numPr>
          <w:ilvl w:val="0"/>
          <w:numId w:val="1004"/>
        </w:numPr>
      </w:pPr>
      <w:r>
        <w:rPr>
          <w:bCs/>
          <w:b/>
        </w:rPr>
        <w:t xml:space="preserve">Protect against private interference.</w:t>
      </w:r>
      <w:r>
        <w:t xml:space="preserve"> </w:t>
      </w:r>
      <w:r>
        <w:t xml:space="preserve">A state may make it a crime for any person, other than one acting under</w:t>
      </w:r>
      <w:r>
        <w:t xml:space="preserve"> </w:t>
      </w:r>
      <w:r>
        <w:t xml:space="preserve">federal authority, to attack, seize, or harass a craft or occupant in the zone, and may give the host and</w:t>
      </w:r>
      <w:r>
        <w:t xml:space="preserve"> </w:t>
      </w:r>
      <w:r>
        <w:t xml:space="preserve">participants a civil action.</w:t>
      </w:r>
    </w:p>
    <w:p>
      <w:pPr>
        <w:pStyle w:val="Compact"/>
        <w:numPr>
          <w:ilvl w:val="0"/>
          <w:numId w:val="1004"/>
        </w:numPr>
      </w:pPr>
      <w:r>
        <w:rPr>
          <w:bCs/>
          <w:b/>
        </w:rPr>
        <w:t xml:space="preserve">Recognize the zone.</w:t>
      </w:r>
      <w:r>
        <w:t xml:space="preserve"> </w:t>
      </w:r>
      <w:r>
        <w:t xml:space="preserve">A state may certify zones on private land that meet published conditions (distance from</w:t>
      </w:r>
      <w:r>
        <w:t xml:space="preserve"> </w:t>
      </w:r>
      <w:r>
        <w:t xml:space="preserve">defense facilities, observation, a code of conduct).</w:t>
      </w:r>
    </w:p>
    <w:p>
      <w:pPr>
        <w:pStyle w:val="FirstParagraph"/>
      </w:pPr>
      <w:r>
        <w:t xml:space="preserve">A state may not regulate the airspace, which federal law occupies, or direct federal officers. A state statute that</w:t>
      </w:r>
      <w:r>
        <w:t xml:space="preserve"> </w:t>
      </w:r>
      <w:r>
        <w:t xml:space="preserve">tried to forbid federal action would be preempted, and a state prosecution of a federal officer acting within the</w:t>
      </w:r>
      <w:r>
        <w:t xml:space="preserve"> </w:t>
      </w:r>
      <w:r>
        <w:t xml:space="preserve">scope of federal duty would face Supremacy Clause immunity. The state layer protects against everyone except the</w:t>
      </w:r>
      <w:r>
        <w:t xml:space="preserve"> </w:t>
      </w:r>
      <w:r>
        <w:t xml:space="preserve">federal government, and that is still a large share of the risk if contractors act on their own.</w:t>
      </w:r>
    </w:p>
    <w:bookmarkEnd w:id="34"/>
    <w:bookmarkStart w:id="35" w:name="federal-executive-options"/>
    <w:p>
      <w:pPr>
        <w:pStyle w:val="Heading3"/>
      </w:pPr>
      <w:r>
        <w:t xml:space="preserve">3.3 Federal executive options</w:t>
      </w:r>
    </w:p>
    <w:p>
      <w:pPr>
        <w:pStyle w:val="Compact"/>
        <w:numPr>
          <w:ilvl w:val="0"/>
          <w:numId w:val="1005"/>
        </w:numPr>
      </w:pPr>
      <w:r>
        <w:rPr>
          <w:bCs/>
          <w:b/>
        </w:rPr>
        <w:t xml:space="preserve">FAA rulemaking.</w:t>
      </w:r>
      <w:r>
        <w:t xml:space="preserve"> </w:t>
      </w:r>
      <w:r>
        <w:t xml:space="preserve">Any person may petition the FAA to adopt a rule (14 C.F.R. §11.61(a)). Special use airspace is</w:t>
      </w:r>
      <w:r>
        <w:t xml:space="preserve"> </w:t>
      </w:r>
      <w:r>
        <w:t xml:space="preserve">“</w:t>
      </w:r>
      <w:r>
        <w:t xml:space="preserve">airspace of defined dimensions … wherein activities must be confined because of their nature, or wherein</w:t>
      </w:r>
      <w:r>
        <w:t xml:space="preserve"> </w:t>
      </w:r>
      <w:r>
        <w:t xml:space="preserve">limitations are imposed upon aircraft operations that are not a part of those activities</w:t>
      </w:r>
      <w:r>
        <w:t xml:space="preserve">”</w:t>
      </w:r>
      <w:r>
        <w:t xml:space="preserve"> </w:t>
      </w:r>
      <w:r>
        <w:t xml:space="preserve">(14 C.F.R. §73.3(a)).</w:t>
      </w:r>
      <w:r>
        <w:t xml:space="preserve"> </w:t>
      </w:r>
      <w:r>
        <w:t xml:space="preserve">The existing temporary flight restriction rules cover disaster and hazard areas and aerial demonstrations and major</w:t>
      </w:r>
      <w:r>
        <w:t xml:space="preserve"> </w:t>
      </w:r>
      <w:r>
        <w:t xml:space="preserve">sporting events (14 C.F.R. §§91.137, 91.145) and do not fit a contact site. A petition is useful mainly to put the</w:t>
      </w:r>
      <w:r>
        <w:t xml:space="preserve"> </w:t>
      </w:r>
      <w:r>
        <w:t xml:space="preserve">proposal and its peaceful purpose on the record.</w:t>
      </w:r>
    </w:p>
    <w:p>
      <w:pPr>
        <w:pStyle w:val="Compact"/>
        <w:numPr>
          <w:ilvl w:val="0"/>
          <w:numId w:val="1005"/>
        </w:numPr>
      </w:pPr>
      <w:r>
        <w:rPr>
          <w:bCs/>
          <w:b/>
        </w:rPr>
        <w:t xml:space="preserve">National monument.</w:t>
      </w:r>
      <w:r>
        <w:t xml:space="preserve"> </w:t>
      </w:r>
      <w:r>
        <w:t xml:space="preserve">The President may proclaim</w:t>
      </w:r>
      <w:r>
        <w:t xml:space="preserve"> </w:t>
      </w:r>
      <w:r>
        <w:t xml:space="preserve">“</w:t>
      </w:r>
      <w:r>
        <w:t xml:space="preserve">objects of historic or scientific interest</w:t>
      </w:r>
      <w:r>
        <w:t xml:space="preserve">”</w:t>
      </w:r>
      <w:r>
        <w:t xml:space="preserve"> </w:t>
      </w:r>
      <w:r>
        <w:t xml:space="preserve">on federal land to</w:t>
      </w:r>
      <w:r>
        <w:t xml:space="preserve"> </w:t>
      </w:r>
      <w:r>
        <w:t xml:space="preserve">be national monuments (54 U.S.C. §320301(a)). That route requires federal land and protects the ground, not the</w:t>
      </w:r>
      <w:r>
        <w:t xml:space="preserve"> </w:t>
      </w:r>
      <w:r>
        <w:t xml:space="preserve">airspace.</w:t>
      </w:r>
    </w:p>
    <w:p>
      <w:pPr>
        <w:pStyle w:val="Compact"/>
        <w:numPr>
          <w:ilvl w:val="0"/>
          <w:numId w:val="1005"/>
        </w:numPr>
      </w:pPr>
      <w:r>
        <w:rPr>
          <w:bCs/>
          <w:b/>
        </w:rPr>
        <w:t xml:space="preserve">Executive order or directive.</w:t>
      </w:r>
      <w:r>
        <w:t xml:space="preserve"> </w:t>
      </w:r>
      <w:r>
        <w:t xml:space="preserve">An order could direct restraint toward craft near designated sites. It would be</w:t>
      </w:r>
      <w:r>
        <w:t xml:space="preserve"> </w:t>
      </w:r>
      <w:r>
        <w:t xml:space="preserve">the fastest route and the easiest to revoke.</w:t>
      </w:r>
    </w:p>
    <w:bookmarkEnd w:id="35"/>
    <w:bookmarkStart w:id="37" w:name="congress"/>
    <w:p>
      <w:pPr>
        <w:pStyle w:val="Heading3"/>
      </w:pPr>
      <w:r>
        <w:t xml:space="preserve">3.4 Congress</w:t>
      </w:r>
    </w:p>
    <w:p>
      <w:pPr>
        <w:pStyle w:val="FirstParagraph"/>
      </w:pPr>
      <w:r>
        <w:t xml:space="preserve">Only a statute can bind the armed forces, the intelligence agencies, and their contractors.</w:t>
      </w:r>
      <w:r>
        <w:t xml:space="preserve"> </w:t>
      </w:r>
      <w:hyperlink r:id="rId22">
        <w:r>
          <w:rPr>
            <w:rStyle w:val="Hyperlink"/>
          </w:rPr>
          <w:t xml:space="preserve">Form F7-1</w:t>
        </w:r>
      </w:hyperlink>
      <w:r>
        <w:t xml:space="preserve"> </w:t>
      </w:r>
      <w:r>
        <w:t xml:space="preserve">would:</w:t>
      </w:r>
      <w:r>
        <w:t xml:space="preserve"> </w:t>
      </w:r>
      <w:r>
        <w:t xml:space="preserve">designate zones (or authorize their certification), forbid force against craft in or approaching a zone except to</w:t>
      </w:r>
      <w:r>
        <w:t xml:space="preserve"> </w:t>
      </w:r>
      <w:r>
        <w:t xml:space="preserve">prevent imminent death or serious injury to persons, forbid seizure and detention of occupants, withdraw zones from</w:t>
      </w:r>
      <w:r>
        <w:t xml:space="preserve"> </w:t>
      </w:r>
      <w:r>
        <w:t xml:space="preserve">§130i, require notice to and reporting by the Defense Department and the FAA, provide an independent monitor, and</w:t>
      </w:r>
      <w:r>
        <w:t xml:space="preserve"> </w:t>
      </w:r>
      <w:r>
        <w:t xml:space="preserve">give a private right of action. It should be offered with the interim protection statute (</w:t>
      </w:r>
      <w:hyperlink r:id="rId27">
        <w:r>
          <w:rPr>
            <w:rStyle w:val="Hyperlink"/>
          </w:rPr>
          <w:t xml:space="preserve">Form F2-1</w:t>
        </w:r>
      </w:hyperlink>
      <w:r>
        <w:t xml:space="preserve">) and the</w:t>
      </w:r>
      <w:r>
        <w:t xml:space="preserve"> </w:t>
      </w:r>
      <w:r>
        <w:t xml:space="preserve">records provisions of the UAP Disclosure Act (</w:t>
      </w:r>
      <w:hyperlink r:id="rId36">
        <w:r>
          <w:rPr>
            <w:rStyle w:val="Hyperlink"/>
          </w:rPr>
          <w:t xml:space="preserve">Issue A3</w:t>
        </w:r>
      </w:hyperlink>
      <w:r>
        <w:t xml:space="preserve">).</w:t>
      </w:r>
    </w:p>
    <w:bookmarkEnd w:id="37"/>
    <w:bookmarkStart w:id="40" w:name="a-foreign-host-state"/>
    <w:p>
      <w:pPr>
        <w:pStyle w:val="Heading3"/>
      </w:pPr>
      <w:r>
        <w:t xml:space="preserve">3.5 A foreign host state</w:t>
      </w:r>
    </w:p>
    <w:p>
      <w:pPr>
        <w:pStyle w:val="FirstParagraph"/>
      </w:pPr>
      <w:r>
        <w:t xml:space="preserve">Every state</w:t>
      </w:r>
      <w:r>
        <w:t xml:space="preserve"> </w:t>
      </w:r>
      <w:r>
        <w:t xml:space="preserve">“</w:t>
      </w:r>
      <w:r>
        <w:t xml:space="preserve">has complete and exclusive sovereignty over the airspace above its territory</w:t>
      </w:r>
      <w:r>
        <w:t xml:space="preserve">”</w:t>
      </w:r>
      <w:r>
        <w:t xml:space="preserve"> </w:t>
      </w:r>
      <w:r>
        <w:t xml:space="preserve">(Convention on</w:t>
      </w:r>
      <w:r>
        <w:t xml:space="preserve"> </w:t>
      </w:r>
      <w:r>
        <w:t xml:space="preserve">International Civil Aviation art. 1, 1944). A foreign government could designate a zone by law or agreement, which</w:t>
      </w:r>
      <w:r>
        <w:t xml:space="preserve"> </w:t>
      </w:r>
      <w:r>
        <w:t xml:space="preserve">would remove the zone from U.S. jurisdiction, though not from the host government’s own authority or from U.S.</w:t>
      </w:r>
      <w:r>
        <w:t xml:space="preserve"> </w:t>
      </w:r>
      <w:r>
        <w:t xml:space="preserve">forces operating abroad under their own law. Coordinate with</w:t>
      </w:r>
      <w:r>
        <w:t xml:space="preserve"> </w:t>
      </w:r>
      <w:hyperlink r:id="rId38">
        <w:r>
          <w:rPr>
            <w:rStyle w:val="Hyperlink"/>
          </w:rPr>
          <w:t xml:space="preserve">Issue F6</w:t>
        </w:r>
      </w:hyperlink>
      <w:r>
        <w:t xml:space="preserve"> </w:t>
      </w:r>
      <w:r>
        <w:t xml:space="preserve">on post-detection protocols and with</w:t>
      </w:r>
      <w:r>
        <w:t xml:space="preserve"> </w:t>
      </w:r>
      <w:hyperlink r:id="rId39">
        <w:r>
          <w:rPr>
            <w:rStyle w:val="Hyperlink"/>
          </w:rPr>
          <w:t xml:space="preserve">Issue F5</w:t>
        </w:r>
      </w:hyperlink>
      <w:r>
        <w:t xml:space="preserve"> </w:t>
      </w:r>
      <w:r>
        <w:t xml:space="preserve">on recognition.</w:t>
      </w:r>
    </w:p>
    <w:bookmarkEnd w:id="40"/>
    <w:bookmarkStart w:id="41" w:name="tribal-land"/>
    <w:p>
      <w:pPr>
        <w:pStyle w:val="Heading3"/>
      </w:pPr>
      <w:r>
        <w:t xml:space="preserve">3.6 Tribal land</w:t>
      </w:r>
    </w:p>
    <w:p>
      <w:pPr>
        <w:pStyle w:val="FirstParagraph"/>
      </w:pPr>
      <w:r>
        <w:t xml:space="preserve">Tribes have long-recognized power to exclude nonmembers from tribal land.</w:t>
      </w:r>
      <w:r>
        <w:t xml:space="preserve"> </w:t>
      </w:r>
      <w:r>
        <w:rPr>
          <w:iCs/>
          <w:i/>
        </w:rPr>
        <w:t xml:space="preserve">Merrion v. Jicarilla Apache Tribe</w:t>
      </w:r>
      <w:r>
        <w:t xml:space="preserve">,</w:t>
      </w:r>
      <w:r>
        <w:t xml:space="preserve"> </w:t>
      </w:r>
      <w:r>
        <w:t xml:space="preserve">455 U.S. 130 (1982). Tribal authority over nonmembers is otherwise limited (</w:t>
      </w:r>
      <w:r>
        <w:rPr>
          <w:iCs/>
          <w:i/>
        </w:rPr>
        <w:t xml:space="preserve">Strate v. A-1 Contractors</w:t>
      </w:r>
      <w:r>
        <w:t xml:space="preserve">, 520</w:t>
      </w:r>
      <w:r>
        <w:t xml:space="preserve"> </w:t>
      </w:r>
      <w:r>
        <w:t xml:space="preserve">U.S. 438 (1997)), and federal law and federal officers operate in Indian country. A tribal partner could add a layer</w:t>
      </w:r>
      <w:r>
        <w:t xml:space="preserve"> </w:t>
      </w:r>
      <w:r>
        <w:t xml:space="preserve">against private intrusion, but tribal land does not escape federal authority. Any partnership must rest on the</w:t>
      </w:r>
      <w:r>
        <w:t xml:space="preserve"> </w:t>
      </w:r>
      <w:r>
        <w:t xml:space="preserve">tribe’s own decision and should not be proposed as a way around federal law.</w:t>
      </w:r>
    </w:p>
    <w:p>
      <w:r>
        <w:pict>
          <v:rect style="width:0;height:1.5pt" o:hralign="center" o:hrstd="t" o:hr="t"/>
        </w:pict>
      </w:r>
    </w:p>
    <w:bookmarkEnd w:id="41"/>
    <w:bookmarkEnd w:id="42"/>
    <w:bookmarkStart w:id="48" w:name="X0f8b85e3163b102ca7b01b71d502e91947c0328"/>
    <w:p>
      <w:pPr>
        <w:pStyle w:val="Heading2"/>
      </w:pPr>
      <w:r>
        <w:t xml:space="preserve">4. Diplomacy and governmental-function risks</w:t>
      </w:r>
    </w:p>
    <w:bookmarkStart w:id="43" w:name="the-logan-act"/>
    <w:p>
      <w:pPr>
        <w:pStyle w:val="Heading3"/>
      </w:pPr>
      <w:r>
        <w:t xml:space="preserve">4.1 The Logan Act</w:t>
      </w:r>
    </w:p>
    <w:p>
      <w:pPr>
        <w:pStyle w:val="FirstParagraph"/>
      </w:pPr>
      <w:r>
        <w:t xml:space="preserve">The Logan Act punishes a citizen who,</w:t>
      </w:r>
      <w:r>
        <w:t xml:space="preserve"> </w:t>
      </w:r>
      <w:r>
        <w:t xml:space="preserve">“</w:t>
      </w:r>
      <w:r>
        <w:t xml:space="preserve">without authority of the United States,</w:t>
      </w:r>
      <w:r>
        <w:t xml:space="preserve">”</w:t>
      </w:r>
      <w:r>
        <w:t xml:space="preserve"> </w:t>
      </w:r>
      <w:r>
        <w:t xml:space="preserve">carries on</w:t>
      </w:r>
      <w:r>
        <w:t xml:space="preserve"> </w:t>
      </w:r>
      <w:r>
        <w:t xml:space="preserve">“</w:t>
      </w:r>
      <w:r>
        <w:t xml:space="preserve">correspondence or</w:t>
      </w:r>
      <w:r>
        <w:t xml:space="preserve"> </w:t>
      </w:r>
      <w:r>
        <w:t xml:space="preserve">intercourse with any foreign government or any officer or agent thereof, with intent to influence the measures or</w:t>
      </w:r>
      <w:r>
        <w:t xml:space="preserve"> </w:t>
      </w:r>
      <w:r>
        <w:t xml:space="preserve">conduct of any foreign government … in relation to any disputes or controversies with the United States, or to</w:t>
      </w:r>
      <w:r>
        <w:t xml:space="preserve"> </w:t>
      </w:r>
      <w:r>
        <w:t xml:space="preserve">defeat the measures of the United States.</w:t>
      </w:r>
      <w:r>
        <w:t xml:space="preserve">”</w:t>
      </w:r>
      <w:r>
        <w:t xml:space="preserve"> </w:t>
      </w:r>
      <w:r>
        <w:t xml:space="preserve">18 U.S.C. §953. Each element is a poor fit for a meeting place: an NHI</w:t>
      </w:r>
      <w:r>
        <w:t xml:space="preserve"> </w:t>
      </w:r>
      <w:r>
        <w:t xml:space="preserve">group is not a</w:t>
      </w:r>
      <w:r>
        <w:t xml:space="preserve"> </w:t>
      </w:r>
      <w:r>
        <w:t xml:space="preserve">“</w:t>
      </w:r>
      <w:r>
        <w:t xml:space="preserve">foreign government</w:t>
      </w:r>
      <w:r>
        <w:t xml:space="preserve">”</w:t>
      </w:r>
      <w:r>
        <w:t xml:space="preserve"> </w:t>
      </w:r>
      <w:r>
        <w:t xml:space="preserve">unless the President recognizes it as one (</w:t>
      </w:r>
      <w:r>
        <w:rPr>
          <w:iCs/>
          <w:i/>
        </w:rPr>
        <w:t xml:space="preserve">Zivotofsky v. Kerry</w:t>
      </w:r>
      <w:r>
        <w:t xml:space="preserve">, 576 U.S. 1</w:t>
      </w:r>
      <w:r>
        <w:t xml:space="preserve"> </w:t>
      </w:r>
      <w:r>
        <w:t xml:space="preserve">(2015);</w:t>
      </w:r>
      <w:r>
        <w:t xml:space="preserve"> </w:t>
      </w:r>
      <w:hyperlink r:id="rId39">
        <w:r>
          <w:rPr>
            <w:rStyle w:val="Hyperlink"/>
          </w:rPr>
          <w:t xml:space="preserve">Issue F5</w:t>
        </w:r>
      </w:hyperlink>
      <w:r>
        <w:t xml:space="preserve">), and the statute requires intent to influence a dispute with the United States. The Act has</w:t>
      </w:r>
      <w:r>
        <w:t xml:space="preserve"> </w:t>
      </w:r>
      <w:r>
        <w:t xml:space="preserve">produced almost no prosecutions and has doubtful constitutionality (</w:t>
      </w:r>
      <w:hyperlink r:id="rId24">
        <w:r>
          <w:rPr>
            <w:rStyle w:val="Hyperlink"/>
          </w:rPr>
          <w:t xml:space="preserve">Issue F3</w:t>
        </w:r>
      </w:hyperlink>
      <w:r>
        <w:t xml:space="preserve">). The risk rises only if the host or a</w:t>
      </w:r>
      <w:r>
        <w:t xml:space="preserve"> </w:t>
      </w:r>
      <w:r>
        <w:t xml:space="preserve">participant</w:t>
      </w:r>
      <w:r>
        <w:t xml:space="preserve"> </w:t>
      </w:r>
      <w:r>
        <w:t xml:space="preserve">“</w:t>
      </w:r>
      <w:r>
        <w:t xml:space="preserve">negotiates</w:t>
      </w:r>
      <w:r>
        <w:t xml:space="preserve">”</w:t>
      </w:r>
      <w:r>
        <w:t xml:space="preserve"> </w:t>
      </w:r>
      <w:r>
        <w:t xml:space="preserve">about disputes between an NHI group and the United States. The code of conduct (</w:t>
      </w:r>
      <w:hyperlink r:id="rId32">
        <w:r>
          <w:rPr>
            <w:rStyle w:val="Hyperlink"/>
          </w:rPr>
          <w:t xml:space="preserve">Form F7-3</w:t>
        </w:r>
      </w:hyperlink>
      <w:r>
        <w:t xml:space="preserve">)</w:t>
      </w:r>
      <w:r>
        <w:t xml:space="preserve"> </w:t>
      </w:r>
      <w:r>
        <w:t xml:space="preserve">should forbid that.</w:t>
      </w:r>
    </w:p>
    <w:bookmarkEnd w:id="43"/>
    <w:bookmarkStart w:id="44" w:name="foreign-agents"/>
    <w:p>
      <w:pPr>
        <w:pStyle w:val="Heading3"/>
      </w:pPr>
      <w:r>
        <w:t xml:space="preserve">4.2 Foreign agents</w:t>
      </w:r>
    </w:p>
    <w:p>
      <w:pPr>
        <w:pStyle w:val="FirstParagraph"/>
      </w:pPr>
      <w:r>
        <w:t xml:space="preserve">FARA defines</w:t>
      </w:r>
      <w:r>
        <w:t xml:space="preserve"> </w:t>
      </w:r>
      <w:r>
        <w:t xml:space="preserve">“</w:t>
      </w:r>
      <w:r>
        <w:t xml:space="preserve">foreign principal</w:t>
      </w:r>
      <w:r>
        <w:t xml:space="preserve">”</w:t>
      </w:r>
      <w:r>
        <w:t xml:space="preserve"> </w:t>
      </w:r>
      <w:r>
        <w:t xml:space="preserve">to include</w:t>
      </w:r>
      <w:r>
        <w:t xml:space="preserve"> </w:t>
      </w:r>
      <w:r>
        <w:t xml:space="preserve">“</w:t>
      </w:r>
      <w:r>
        <w:t xml:space="preserve">a person outside of the United States</w:t>
      </w:r>
      <w:r>
        <w:t xml:space="preserve">”</w:t>
      </w:r>
      <w:r>
        <w:t xml:space="preserve"> </w:t>
      </w:r>
      <w:r>
        <w:t xml:space="preserve">(22 U.S.C. §611(b)(2)), and 18</w:t>
      </w:r>
      <w:r>
        <w:t xml:space="preserve"> </w:t>
      </w:r>
      <w:r>
        <w:t xml:space="preserve">U.S.C. §951 punishes acting as an agent of a foreign government without notice to the Attorney General (</w:t>
      </w:r>
      <w:hyperlink r:id="rId24">
        <w:r>
          <w:rPr>
            <w:rStyle w:val="Hyperlink"/>
          </w:rPr>
          <w:t xml:space="preserve">Issue F3</w:t>
        </w:r>
      </w:hyperlink>
      <w:r>
        <w:t xml:space="preserve"> </w:t>
      </w:r>
      <w:r>
        <w:t xml:space="preserve">§1A). A human who acts at the direction of an NHI group to influence U.S. officials or public opinion would face the</w:t>
      </w:r>
      <w:r>
        <w:t xml:space="preserve"> </w:t>
      </w:r>
      <w:r>
        <w:t xml:space="preserve">question whether the group is a foreign principal. The host should act on its own account, and any participant who</w:t>
      </w:r>
      <w:r>
        <w:t xml:space="preserve"> </w:t>
      </w:r>
      <w:r>
        <w:t xml:space="preserve">agrees to carry messages or advocate for an NHI group should take advice on registration before doing so.</w:t>
      </w:r>
    </w:p>
    <w:bookmarkEnd w:id="44"/>
    <w:bookmarkStart w:id="45" w:name="Xb28971a963a8457beea2d55fed8238f4de92474"/>
    <w:p>
      <w:pPr>
        <w:pStyle w:val="Heading3"/>
      </w:pPr>
      <w:r>
        <w:t xml:space="preserve">4.3 Sovereignty, recognition, and impersonation</w:t>
      </w:r>
    </w:p>
    <w:p>
      <w:pPr>
        <w:pStyle w:val="FirstParagraph"/>
      </w:pPr>
      <w:r>
        <w:t xml:space="preserve">The conduct of foreign relations belongs to the political branches (</w:t>
      </w:r>
      <w:r>
        <w:rPr>
          <w:iCs/>
          <w:i/>
        </w:rPr>
        <w:t xml:space="preserve">United States v. Curtiss-Wright Export Corp.</w:t>
      </w:r>
      <w:r>
        <w:t xml:space="preserve">,</w:t>
      </w:r>
      <w:r>
        <w:t xml:space="preserve"> </w:t>
      </w:r>
      <w:r>
        <w:t xml:space="preserve">299 U.S. 304 (1936)), and recognition belongs to the President (</w:t>
      </w:r>
      <w:r>
        <w:rPr>
          <w:iCs/>
          <w:i/>
        </w:rPr>
        <w:t xml:space="preserve">Zivotofsky</w:t>
      </w:r>
      <w:r>
        <w:t xml:space="preserve">). No private body can grant diplomatic</w:t>
      </w:r>
      <w:r>
        <w:t xml:space="preserve"> </w:t>
      </w:r>
      <w:r>
        <w:t xml:space="preserve">status, immunity, or safe conduct that binds the United States, and documents styled as treaties, embassy charters,</w:t>
      </w:r>
      <w:r>
        <w:t xml:space="preserve"> </w:t>
      </w:r>
      <w:r>
        <w:t xml:space="preserve">ambassadorial credentials, passports, or declarations of</w:t>
      </w:r>
      <w:r>
        <w:t xml:space="preserve"> </w:t>
      </w:r>
      <w:r>
        <w:t xml:space="preserve">“</w:t>
      </w:r>
      <w:r>
        <w:t xml:space="preserve">neutral</w:t>
      </w:r>
      <w:r>
        <w:t xml:space="preserve">”</w:t>
      </w:r>
      <w:r>
        <w:t xml:space="preserve"> </w:t>
      </w:r>
      <w:r>
        <w:t xml:space="preserve">or</w:t>
      </w:r>
      <w:r>
        <w:t xml:space="preserve"> </w:t>
      </w:r>
      <w:r>
        <w:t xml:space="preserve">“</w:t>
      </w:r>
      <w:r>
        <w:t xml:space="preserve">sovereign</w:t>
      </w:r>
      <w:r>
        <w:t xml:space="preserve">”</w:t>
      </w:r>
      <w:r>
        <w:t xml:space="preserve"> </w:t>
      </w:r>
      <w:r>
        <w:t xml:space="preserve">territory have no legal effect. They</w:t>
      </w:r>
      <w:r>
        <w:t xml:space="preserve"> </w:t>
      </w:r>
      <w:r>
        <w:t xml:space="preserve">also invite the conclusion that the host is usurping a governmental function and can make the site a target. No one</w:t>
      </w:r>
      <w:r>
        <w:t xml:space="preserve"> </w:t>
      </w:r>
      <w:r>
        <w:t xml:space="preserve">connected with the zone should claim to speak for the United States or hold any federal office (18 U.S.C. §912).</w:t>
      </w:r>
    </w:p>
    <w:p>
      <w:pPr>
        <w:pStyle w:val="BodyText"/>
      </w:pPr>
      <w:r>
        <w:t xml:space="preserve">The host should instead issue a one-sided declaration of hospitality: it offers visitors safety and respect on its</w:t>
      </w:r>
      <w:r>
        <w:t xml:space="preserve"> </w:t>
      </w:r>
      <w:r>
        <w:t xml:space="preserve">land, within its own rights and the law, and promises to report any interference publicly. That framing is truthful,</w:t>
      </w:r>
      <w:r>
        <w:t xml:space="preserve"> </w:t>
      </w:r>
      <w:r>
        <w:t xml:space="preserve">private, and enforceable against the host’s own members.</w:t>
      </w:r>
    </w:p>
    <w:bookmarkEnd w:id="45"/>
    <w:bookmarkStart w:id="46" w:name="the-public-function-doctrine"/>
    <w:p>
      <w:pPr>
        <w:pStyle w:val="Heading3"/>
      </w:pPr>
      <w:r>
        <w:t xml:space="preserve">4.4 The public-function doctrine</w:t>
      </w:r>
    </w:p>
    <w:p>
      <w:pPr>
        <w:pStyle w:val="FirstParagraph"/>
      </w:pPr>
      <w:r>
        <w:t xml:space="preserve">A private entity becomes a state actor when it exercises a function that government has traditionally and</w:t>
      </w:r>
      <w:r>
        <w:t xml:space="preserve"> </w:t>
      </w:r>
      <w:r>
        <w:t xml:space="preserve">exclusively performed.</w:t>
      </w:r>
      <w:r>
        <w:t xml:space="preserve"> </w:t>
      </w:r>
      <w:r>
        <w:rPr>
          <w:iCs/>
          <w:i/>
        </w:rPr>
        <w:t xml:space="preserve">Manhattan Community Access Corp. v. Halleck</w:t>
      </w:r>
      <w:r>
        <w:t xml:space="preserve">, 587 U.S. 802 (2019). A company that runs a whole town can be</w:t>
      </w:r>
      <w:r>
        <w:t xml:space="preserve"> </w:t>
      </w:r>
      <w:r>
        <w:t xml:space="preserve">bound by the Constitution (</w:t>
      </w:r>
      <w:r>
        <w:rPr>
          <w:iCs/>
          <w:i/>
        </w:rPr>
        <w:t xml:space="preserve">Marsh v. Alabama</w:t>
      </w:r>
      <w:r>
        <w:t xml:space="preserve">, 326 U.S. 501 (1946)), but a private group running a gated meeting site</w:t>
      </w:r>
      <w:r>
        <w:t xml:space="preserve"> </w:t>
      </w:r>
      <w:r>
        <w:t xml:space="preserve">is not. The doctrine matters mainly if the host claims police powers or governs residents. It should not.</w:t>
      </w:r>
    </w:p>
    <w:bookmarkEnd w:id="46"/>
    <w:bookmarkStart w:id="47" w:name="X4c7e0766e878a508530747f0a034e88c4cfeb6d"/>
    <w:p>
      <w:pPr>
        <w:pStyle w:val="Heading3"/>
      </w:pPr>
      <w:r>
        <w:t xml:space="preserve">4.5 Neutrality and conflicts among NHI groups</w:t>
      </w:r>
    </w:p>
    <w:p>
      <w:pPr>
        <w:pStyle w:val="FirstParagraph"/>
      </w:pPr>
      <w:r>
        <w:t xml:space="preserve">The Neutrality Act forbids taking part in a</w:t>
      </w:r>
      <w:r>
        <w:t xml:space="preserve"> </w:t>
      </w:r>
      <w:r>
        <w:t xml:space="preserve">“</w:t>
      </w:r>
      <w:r>
        <w:t xml:space="preserve">military or naval expedition or enterprise</w:t>
      </w:r>
      <w:r>
        <w:t xml:space="preserve">”</w:t>
      </w:r>
      <w:r>
        <w:t xml:space="preserve"> </w:t>
      </w:r>
      <w:r>
        <w:t xml:space="preserve">from the United States</w:t>
      </w:r>
      <w:r>
        <w:t xml:space="preserve"> </w:t>
      </w:r>
      <w:r>
        <w:t xml:space="preserve">against a</w:t>
      </w:r>
      <w:r>
        <w:t xml:space="preserve"> </w:t>
      </w:r>
      <w:r>
        <w:t xml:space="preserve">“</w:t>
      </w:r>
      <w:r>
        <w:t xml:space="preserve">people with whom the United States is at peace</w:t>
      </w:r>
      <w:r>
        <w:t xml:space="preserve">”</w:t>
      </w:r>
      <w:r>
        <w:t xml:space="preserve"> </w:t>
      </w:r>
      <w:r>
        <w:t xml:space="preserve">(18 U.S.C. §960). A meeting place is not an expedition,</w:t>
      </w:r>
      <w:r>
        <w:t xml:space="preserve"> </w:t>
      </w:r>
      <w:r>
        <w:t xml:space="preserve">but if NHI groups are in conflict (</w:t>
      </w:r>
      <w:hyperlink r:id="rId39">
        <w:r>
          <w:rPr>
            <w:rStyle w:val="Hyperlink"/>
          </w:rPr>
          <w:t xml:space="preserve">Issue F5</w:t>
        </w:r>
      </w:hyperlink>
      <w:r>
        <w:t xml:space="preserve">) the host must not help one against another.</w:t>
      </w:r>
    </w:p>
    <w:p>
      <w:r>
        <w:pict>
          <v:rect style="width:0;height:1.5pt" o:hralign="center" o:hrstd="t" o:hr="t"/>
        </w:pict>
      </w:r>
    </w:p>
    <w:bookmarkEnd w:id="47"/>
    <w:bookmarkEnd w:id="48"/>
    <w:bookmarkStart w:id="50" w:name="exposures-at-the-meeting-itself"/>
    <w:p>
      <w:pPr>
        <w:pStyle w:val="Heading2"/>
      </w:pPr>
      <w:r>
        <w:t xml:space="preserve">5. Exposures at the meeting itself</w:t>
      </w:r>
    </w:p>
    <w:p>
      <w:pPr>
        <w:pStyle w:val="Compact"/>
        <w:numPr>
          <w:ilvl w:val="0"/>
          <w:numId w:val="1006"/>
        </w:numPr>
      </w:pPr>
      <w:r>
        <w:rPr>
          <w:bCs/>
          <w:b/>
        </w:rPr>
        <w:t xml:space="preserve">Export controls.</w:t>
      </w:r>
      <w:r>
        <w:t xml:space="preserve"> </w:t>
      </w:r>
      <w:r>
        <w:t xml:space="preserve">Technical data received from or passed to an NHI may be controlled whatever its source, and an</w:t>
      </w:r>
      <w:r>
        <w:t xml:space="preserve"> </w:t>
      </w:r>
      <w:r>
        <w:t xml:space="preserve">NHI may be treated as a</w:t>
      </w:r>
      <w:r>
        <w:t xml:space="preserve"> </w:t>
      </w:r>
      <w:r>
        <w:t xml:space="preserve">“</w:t>
      </w:r>
      <w:r>
        <w:t xml:space="preserve">foreign person</w:t>
      </w:r>
      <w:r>
        <w:t xml:space="preserve">”</w:t>
      </w:r>
      <w:r>
        <w:t xml:space="preserve"> </w:t>
      </w:r>
      <w:r>
        <w:t xml:space="preserve">(</w:t>
      </w:r>
      <w:hyperlink r:id="rId24">
        <w:r>
          <w:rPr>
            <w:rStyle w:val="Hyperlink"/>
          </w:rPr>
          <w:t xml:space="preserve">Issue F3</w:t>
        </w:r>
      </w:hyperlink>
      <w:r>
        <w:t xml:space="preserve">;</w:t>
      </w:r>
      <w:r>
        <w:t xml:space="preserve"> </w:t>
      </w:r>
      <w:hyperlink r:id="rId49">
        <w:r>
          <w:rPr>
            <w:rStyle w:val="Hyperlink"/>
          </w:rPr>
          <w:t xml:space="preserve">Form F3-2</w:t>
        </w:r>
      </w:hyperlink>
      <w:r>
        <w:t xml:space="preserve">). Review technical exchanges before publication.</w:t>
      </w:r>
    </w:p>
    <w:p>
      <w:pPr>
        <w:pStyle w:val="Compact"/>
        <w:numPr>
          <w:ilvl w:val="0"/>
          <w:numId w:val="1006"/>
        </w:numPr>
      </w:pPr>
      <w:r>
        <w:rPr>
          <w:bCs/>
          <w:b/>
        </w:rPr>
        <w:t xml:space="preserve">Cleared participants.</w:t>
      </w:r>
      <w:r>
        <w:t xml:space="preserve"> </w:t>
      </w:r>
      <w:r>
        <w:t xml:space="preserve">Holders of security clearances must report foreign contacts and may face reprisal or</w:t>
      </w:r>
      <w:r>
        <w:t xml:space="preserve"> </w:t>
      </w:r>
      <w:r>
        <w:t xml:space="preserve">clearance action (Issues C4, C5). They should take advice before attending.</w:t>
      </w:r>
    </w:p>
    <w:p>
      <w:pPr>
        <w:pStyle w:val="Compact"/>
        <w:numPr>
          <w:ilvl w:val="0"/>
          <w:numId w:val="1006"/>
        </w:numPr>
      </w:pPr>
      <w:r>
        <w:rPr>
          <w:bCs/>
          <w:b/>
        </w:rPr>
        <w:t xml:space="preserve">Public health.</w:t>
      </w:r>
      <w:r>
        <w:t xml:space="preserve"> </w:t>
      </w:r>
      <w:r>
        <w:t xml:space="preserve">The Surgeon General may make and enforce regulations</w:t>
      </w:r>
      <w:r>
        <w:t xml:space="preserve"> </w:t>
      </w:r>
      <w:r>
        <w:t xml:space="preserve">“</w:t>
      </w:r>
      <w:r>
        <w:t xml:space="preserve">necessary to prevent the introduction,</w:t>
      </w:r>
      <w:r>
        <w:t xml:space="preserve"> </w:t>
      </w:r>
      <w:r>
        <w:t xml:space="preserve">transmission, or spread of communicable diseases from foreign countries into the States</w:t>
      </w:r>
      <w:r>
        <w:t xml:space="preserve">”</w:t>
      </w:r>
      <w:r>
        <w:t xml:space="preserve"> </w:t>
      </w:r>
      <w:r>
        <w:t xml:space="preserve">(42 U.S.C. §264(a)), and</w:t>
      </w:r>
      <w:r>
        <w:t xml:space="preserve"> </w:t>
      </w:r>
      <w:r>
        <w:t xml:space="preserve">states have their own quarantine powers. NASA’s former extraterrestrial exposure rule is the only U.S. precedent for</w:t>
      </w:r>
      <w:r>
        <w:t xml:space="preserve"> </w:t>
      </w:r>
      <w:r>
        <w:t xml:space="preserve">quarantine of extraterrestrial material (</w:t>
      </w:r>
      <w:hyperlink r:id="rId38">
        <w:r>
          <w:rPr>
            <w:rStyle w:val="Hyperlink"/>
          </w:rPr>
          <w:t xml:space="preserve">Issue F6</w:t>
        </w:r>
      </w:hyperlink>
      <w:r>
        <w:t xml:space="preserve">). The host should adopt biosafety rules: no physical contact or</w:t>
      </w:r>
      <w:r>
        <w:t xml:space="preserve"> </w:t>
      </w:r>
      <w:r>
        <w:t xml:space="preserve">sample exchange without consent and medical protocols.</w:t>
      </w:r>
    </w:p>
    <w:p>
      <w:pPr>
        <w:pStyle w:val="Compact"/>
        <w:numPr>
          <w:ilvl w:val="0"/>
          <w:numId w:val="1006"/>
        </w:numPr>
      </w:pPr>
      <w:r>
        <w:rPr>
          <w:bCs/>
          <w:b/>
        </w:rPr>
        <w:t xml:space="preserve">Immigration and customs.</w:t>
      </w:r>
      <w:r>
        <w:t xml:space="preserve"> </w:t>
      </w:r>
      <w:r>
        <w:t xml:space="preserve">If occupants leave their craft, the government may argue that they are</w:t>
      </w:r>
      <w:r>
        <w:t xml:space="preserve"> </w:t>
      </w:r>
      <w:r>
        <w:t xml:space="preserve">“</w:t>
      </w:r>
      <w:r>
        <w:t xml:space="preserve">aliens.</w:t>
      </w:r>
      <w:r>
        <w:t xml:space="preserve">”</w:t>
      </w:r>
      <w:r>
        <w:t xml:space="preserve"> </w:t>
      </w:r>
      <w:r>
        <w:t xml:space="preserve">Federal law punishes an alien who</w:t>
      </w:r>
      <w:r>
        <w:t xml:space="preserve"> </w:t>
      </w:r>
      <w:r>
        <w:t xml:space="preserve">“</w:t>
      </w:r>
      <w:r>
        <w:t xml:space="preserve">enters or attempts to enter the United States at any time or place other than as</w:t>
      </w:r>
      <w:r>
        <w:t xml:space="preserve"> </w:t>
      </w:r>
      <w:r>
        <w:t xml:space="preserve">designated by immigration officers</w:t>
      </w:r>
      <w:r>
        <w:t xml:space="preserve">”</w:t>
      </w:r>
      <w:r>
        <w:t xml:space="preserve"> </w:t>
      </w:r>
      <w:r>
        <w:t xml:space="preserve">(8 U.S.C. §1325(a)), and punishes any person who, knowing or in reckless</w:t>
      </w:r>
      <w:r>
        <w:t xml:space="preserve"> </w:t>
      </w:r>
      <w:r>
        <w:t xml:space="preserve">disregard that an alien has entered unlawfully,</w:t>
      </w:r>
      <w:r>
        <w:t xml:space="preserve"> </w:t>
      </w:r>
      <w:r>
        <w:t xml:space="preserve">“</w:t>
      </w:r>
      <w:r>
        <w:t xml:space="preserve">conceals, harbors, or shields from detection</w:t>
      </w:r>
      <w:r>
        <w:t xml:space="preserve">”</w:t>
      </w:r>
      <w:r>
        <w:t xml:space="preserve"> </w:t>
      </w:r>
      <w:r>
        <w:t xml:space="preserve">or transports that</w:t>
      </w:r>
      <w:r>
        <w:t xml:space="preserve"> </w:t>
      </w:r>
      <w:r>
        <w:t xml:space="preserve">alien (8 U.S.C. §1324(a)(1)(A)(ii)-(iii)). Pilots of aircraft arriving from</w:t>
      </w:r>
      <w:r>
        <w:t xml:space="preserve"> </w:t>
      </w:r>
      <w:r>
        <w:t xml:space="preserve">“</w:t>
      </w:r>
      <w:r>
        <w:t xml:space="preserve">any foreign airport or place</w:t>
      </w:r>
      <w:r>
        <w:t xml:space="preserve">”</w:t>
      </w:r>
      <w:r>
        <w:t xml:space="preserve"> </w:t>
      </w:r>
      <w:r>
        <w:t xml:space="preserve">must</w:t>
      </w:r>
      <w:r>
        <w:t xml:space="preserve"> </w:t>
      </w:r>
      <w:r>
        <w:t xml:space="preserve">follow arrival-reporting rules (19 U.S.C. §1433(c)). None of these statutes was written for a being arriving from</w:t>
      </w:r>
      <w:r>
        <w:t xml:space="preserve"> </w:t>
      </w:r>
      <w:r>
        <w:t xml:space="preserve">space, but the host must not conceal or move any occupant and should publish every arrival.</w:t>
      </w:r>
    </w:p>
    <w:p>
      <w:pPr>
        <w:pStyle w:val="Compact"/>
        <w:numPr>
          <w:ilvl w:val="0"/>
          <w:numId w:val="1006"/>
        </w:numPr>
      </w:pPr>
      <w:r>
        <w:rPr>
          <w:bCs/>
          <w:b/>
        </w:rPr>
        <w:t xml:space="preserve">Use of force by the host.</w:t>
      </w:r>
      <w:r>
        <w:t xml:space="preserve"> </w:t>
      </w:r>
      <w:r>
        <w:t xml:space="preserve">Security staff may protect persons; they must not interfere with federal officers</w:t>
      </w:r>
      <w:r>
        <w:t xml:space="preserve"> </w:t>
      </w:r>
      <w:r>
        <w:t xml:space="preserve">(18 U.S.C. §111) or damage government property (18 U.S.C. §1361). The zone’s protection is legal and public, never</w:t>
      </w:r>
      <w:r>
        <w:t xml:space="preserve"> </w:t>
      </w:r>
      <w:r>
        <w:t xml:space="preserve">physical resistance.</w:t>
      </w:r>
    </w:p>
    <w:p>
      <w:r>
        <w:pict>
          <v:rect style="width:0;height:1.5pt" o:hralign="center" o:hrstd="t" o:hr="t"/>
        </w:pict>
      </w:r>
    </w:p>
    <w:bookmarkEnd w:id="50"/>
    <w:bookmarkStart w:id="53" w:name="designing-the-zone"/>
    <w:p>
      <w:pPr>
        <w:pStyle w:val="Heading2"/>
      </w:pPr>
      <w:r>
        <w:t xml:space="preserve">6. Designing the zone</w:t>
      </w:r>
    </w:p>
    <w:p>
      <w:pPr>
        <w:pStyle w:val="Compact"/>
        <w:numPr>
          <w:ilvl w:val="0"/>
          <w:numId w:val="1007"/>
        </w:numPr>
      </w:pPr>
      <w:r>
        <w:rPr>
          <w:bCs/>
          <w:b/>
        </w:rPr>
        <w:t xml:space="preserve">Entities.</w:t>
      </w:r>
      <w:r>
        <w:t xml:space="preserve"> </w:t>
      </w:r>
      <w:r>
        <w:t xml:space="preserve">A 501(c)(3) organization runs the scientific and educational program; it must be</w:t>
      </w:r>
      <w:r>
        <w:t xml:space="preserve"> </w:t>
      </w:r>
      <w:r>
        <w:t xml:space="preserve">“</w:t>
      </w:r>
      <w:r>
        <w:t xml:space="preserve">organized and</w:t>
      </w:r>
      <w:r>
        <w:t xml:space="preserve"> </w:t>
      </w:r>
      <w:r>
        <w:t xml:space="preserve">operated exclusively</w:t>
      </w:r>
      <w:r>
        <w:t xml:space="preserve">”</w:t>
      </w:r>
      <w:r>
        <w:t xml:space="preserve"> </w:t>
      </w:r>
      <w:r>
        <w:t xml:space="preserve">for such purposes, and</w:t>
      </w:r>
      <w:r>
        <w:t xml:space="preserve"> </w:t>
      </w:r>
      <w:r>
        <w:t xml:space="preserve">“</w:t>
      </w:r>
      <w:r>
        <w:t xml:space="preserve">no substantial part</w:t>
      </w:r>
      <w:r>
        <w:t xml:space="preserve">”</w:t>
      </w:r>
      <w:r>
        <w:t xml:space="preserve"> </w:t>
      </w:r>
      <w:r>
        <w:t xml:space="preserve">of its activities may be attempts</w:t>
      </w:r>
      <w:r>
        <w:t xml:space="preserve"> </w:t>
      </w:r>
      <w:r>
        <w:t xml:space="preserve">“</w:t>
      </w:r>
      <w:r>
        <w:t xml:space="preserve">to influence</w:t>
      </w:r>
      <w:r>
        <w:t xml:space="preserve"> </w:t>
      </w:r>
      <w:r>
        <w:t xml:space="preserve">legislation</w:t>
      </w:r>
      <w:r>
        <w:t xml:space="preserve">”</w:t>
      </w:r>
      <w:r>
        <w:t xml:space="preserve"> </w:t>
      </w:r>
      <w:r>
        <w:t xml:space="preserve">(26 U.S.C. §501(c)(3)). A separate 501(c)(4) organization carries the legislative campaign for Forms</w:t>
      </w:r>
      <w:r>
        <w:t xml:space="preserve"> </w:t>
      </w:r>
      <w:r>
        <w:t xml:space="preserve">F7-1 and F7-2. Land is held by a separate LLC or a land trust.</w:t>
      </w:r>
    </w:p>
    <w:p>
      <w:pPr>
        <w:pStyle w:val="Compact"/>
        <w:numPr>
          <w:ilvl w:val="0"/>
          <w:numId w:val="1007"/>
        </w:numPr>
      </w:pPr>
      <w:r>
        <w:rPr>
          <w:bCs/>
          <w:b/>
        </w:rPr>
        <w:t xml:space="preserve">Site.</w:t>
      </w:r>
      <w:r>
        <w:t xml:space="preserve"> </w:t>
      </w:r>
      <w:r>
        <w:t xml:space="preserve">Private land in a state willing to enact</w:t>
      </w:r>
      <w:r>
        <w:t xml:space="preserve"> </w:t>
      </w:r>
      <w:hyperlink r:id="rId23">
        <w:r>
          <w:rPr>
            <w:rStyle w:val="Hyperlink"/>
          </w:rPr>
          <w:t xml:space="preserve">Form F7-2</w:t>
        </w:r>
      </w:hyperlink>
      <w:r>
        <w:t xml:space="preserve">; outside restricted, prohibited, and national defense</w:t>
      </w:r>
      <w:r>
        <w:t xml:space="preserve"> </w:t>
      </w:r>
      <w:r>
        <w:t xml:space="preserve">airspace; far from any facility that could be a §130i</w:t>
      </w:r>
      <w:r>
        <w:t xml:space="preserve"> </w:t>
      </w:r>
      <w:r>
        <w:t xml:space="preserve">“</w:t>
      </w:r>
      <w:r>
        <w:t xml:space="preserve">covered facility or asset</w:t>
      </w:r>
      <w:r>
        <w:t xml:space="preserve">”</w:t>
      </w:r>
      <w:r>
        <w:t xml:space="preserve">; with clear sight lines for</w:t>
      </w:r>
      <w:r>
        <w:t xml:space="preserve"> </w:t>
      </w:r>
      <w:r>
        <w:t xml:space="preserve">observation.</w:t>
      </w:r>
    </w:p>
    <w:p>
      <w:pPr>
        <w:pStyle w:val="Compact"/>
        <w:numPr>
          <w:ilvl w:val="0"/>
          <w:numId w:val="1007"/>
        </w:numPr>
      </w:pPr>
      <w:r>
        <w:rPr>
          <w:bCs/>
          <w:b/>
        </w:rPr>
        <w:t xml:space="preserve">Charter and code of conduct</w:t>
      </w:r>
      <w:r>
        <w:t xml:space="preserve"> </w:t>
      </w:r>
      <w:r>
        <w:t xml:space="preserve">(</w:t>
      </w:r>
      <w:hyperlink r:id="rId32">
        <w:r>
          <w:rPr>
            <w:rStyle w:val="Hyperlink"/>
          </w:rPr>
          <w:t xml:space="preserve">Form F7-3</w:t>
        </w:r>
      </w:hyperlink>
      <w:r>
        <w:t xml:space="preserve">). No weapons, no capture, no samples or data taken without consent,</w:t>
      </w:r>
      <w:r>
        <w:t xml:space="preserve"> </w:t>
      </w:r>
      <w:r>
        <w:t xml:space="preserve">communication only by consent, no negotiation on behalf of any government, no technical exchange without review,</w:t>
      </w:r>
      <w:r>
        <w:t xml:space="preserve"> </w:t>
      </w:r>
      <w:r>
        <w:t xml:space="preserve">and public reporting of every contact and every interference.</w:t>
      </w:r>
    </w:p>
    <w:p>
      <w:pPr>
        <w:pStyle w:val="Compact"/>
        <w:numPr>
          <w:ilvl w:val="0"/>
          <w:numId w:val="1007"/>
        </w:numPr>
      </w:pPr>
      <w:r>
        <w:rPr>
          <w:bCs/>
          <w:b/>
        </w:rPr>
        <w:t xml:space="preserve">Observation.</w:t>
      </w:r>
      <w:r>
        <w:t xml:space="preserve"> </w:t>
      </w:r>
      <w:r>
        <w:t xml:space="preserve">Continuous sensor coverage and recording stored offsite; independent academic and press</w:t>
      </w:r>
      <w:r>
        <w:t xml:space="preserve"> </w:t>
      </w:r>
      <w:r>
        <w:t xml:space="preserve">observers; an ombudsman (for example, a retired judge) with authority to publish findings.</w:t>
      </w:r>
    </w:p>
    <w:p>
      <w:pPr>
        <w:pStyle w:val="Compact"/>
        <w:numPr>
          <w:ilvl w:val="0"/>
          <w:numId w:val="1007"/>
        </w:numPr>
      </w:pPr>
      <w:r>
        <w:rPr>
          <w:bCs/>
          <w:b/>
        </w:rPr>
        <w:t xml:space="preserve">Notice</w:t>
      </w:r>
      <w:r>
        <w:t xml:space="preserve"> </w:t>
      </w:r>
      <w:r>
        <w:t xml:space="preserve">(</w:t>
      </w:r>
      <w:hyperlink r:id="rId51">
        <w:r>
          <w:rPr>
            <w:rStyle w:val="Hyperlink"/>
          </w:rPr>
          <w:t xml:space="preserve">Form F7-4</w:t>
        </w:r>
      </w:hyperlink>
      <w:r>
        <w:t xml:space="preserve">). Written notice to the FAA, the Defense Department, and the congressional committees,</w:t>
      </w:r>
      <w:r>
        <w:t xml:space="preserve"> </w:t>
      </w:r>
      <w:r>
        <w:t xml:space="preserve">describing the site, its peaceful purpose, and its rules, and asking each agency to state any objection. Do not</w:t>
      </w:r>
      <w:r>
        <w:t xml:space="preserve"> </w:t>
      </w:r>
      <w:r>
        <w:t xml:space="preserve">rely on AARO for protection or accurate information. Notice makes any later attack a deliberate act on the record</w:t>
      </w:r>
      <w:r>
        <w:t xml:space="preserve"> </w:t>
      </w:r>
      <w:r>
        <w:t xml:space="preserve">and supports pre-enforcement challenges (</w:t>
      </w:r>
      <w:hyperlink r:id="rId52">
        <w:r>
          <w:rPr>
            <w:rStyle w:val="Hyperlink"/>
          </w:rPr>
          <w:t xml:space="preserve">Form F3-1</w:t>
        </w:r>
      </w:hyperlink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Cs/>
          <w:b/>
        </w:rPr>
        <w:t xml:space="preserve">Legal readiness.</w:t>
      </w:r>
      <w:r>
        <w:t xml:space="preserve"> </w:t>
      </w:r>
      <w:r>
        <w:t xml:space="preserve">Preservation letters ready to send; Forms F1-1 and F1-2 ready for any detention; counsel on</w:t>
      </w:r>
      <w:r>
        <w:t xml:space="preserve"> </w:t>
      </w:r>
      <w:r>
        <w:t xml:space="preserve">call; insurance.</w:t>
      </w:r>
    </w:p>
    <w:p>
      <w:r>
        <w:pict>
          <v:rect style="width:0;height:1.5pt" o:hralign="center" o:hrstd="t" o:hr="t"/>
        </w:pict>
      </w:r>
    </w:p>
    <w:bookmarkEnd w:id="53"/>
    <w:bookmarkStart w:id="55" w:name="practice-checklist"/>
    <w:p>
      <w:pPr>
        <w:pStyle w:val="Heading2"/>
      </w:pPr>
      <w:r>
        <w:t xml:space="preserve">7. Practice checklist</w:t>
      </w:r>
    </w:p>
    <w:p>
      <w:pPr>
        <w:pStyle w:val="Compact"/>
        <w:numPr>
          <w:ilvl w:val="0"/>
          <w:numId w:val="1008"/>
        </w:numPr>
      </w:pPr>
      <w:r>
        <w:t xml:space="preserve">Form the entities and acquire the land with permanent protections.</w:t>
      </w:r>
    </w:p>
    <w:p>
      <w:pPr>
        <w:pStyle w:val="Compact"/>
        <w:numPr>
          <w:ilvl w:val="0"/>
          <w:numId w:val="1008"/>
        </w:numPr>
      </w:pPr>
      <w:r>
        <w:t xml:space="preserve">Map airspace classes, national defense areas, and defense facilities before choosing the site.</w:t>
      </w:r>
    </w:p>
    <w:p>
      <w:pPr>
        <w:pStyle w:val="Compact"/>
        <w:numPr>
          <w:ilvl w:val="0"/>
          <w:numId w:val="1008"/>
        </w:numPr>
      </w:pPr>
      <w:r>
        <w:t xml:space="preserve">Adopt the host’s declaration and code of conduct (</w:t>
      </w:r>
      <w:hyperlink r:id="rId32">
        <w:r>
          <w:rPr>
            <w:rStyle w:val="Hyperlink"/>
          </w:rPr>
          <w:t xml:space="preserve">Form F7-3</w:t>
        </w:r>
      </w:hyperlink>
      <w:r>
        <w:t xml:space="preserve">) before any public announcement.</w:t>
      </w:r>
    </w:p>
    <w:p>
      <w:pPr>
        <w:pStyle w:val="Compact"/>
        <w:numPr>
          <w:ilvl w:val="0"/>
          <w:numId w:val="1008"/>
        </w:numPr>
      </w:pPr>
      <w:r>
        <w:t xml:space="preserve">Brief cleared participants on reporting obligations (</w:t>
      </w:r>
      <w:hyperlink r:id="rId54">
        <w:r>
          <w:rPr>
            <w:rStyle w:val="Hyperlink"/>
          </w:rPr>
          <w:t xml:space="preserve">Issue C5</w:t>
        </w:r>
      </w:hyperlink>
      <w:r>
        <w:t xml:space="preserve">) and technical participants on export controls.</w:t>
      </w:r>
    </w:p>
    <w:p>
      <w:pPr>
        <w:pStyle w:val="Compact"/>
        <w:numPr>
          <w:ilvl w:val="0"/>
          <w:numId w:val="1008"/>
        </w:numPr>
      </w:pPr>
      <w:r>
        <w:t xml:space="preserve">Send the notice letters (</w:t>
      </w:r>
      <w:hyperlink r:id="rId51">
        <w:r>
          <w:rPr>
            <w:rStyle w:val="Hyperlink"/>
          </w:rPr>
          <w:t xml:space="preserve">Form F7-4</w:t>
        </w:r>
      </w:hyperlink>
      <w:r>
        <w:t xml:space="preserve">) and file an FAA petition for rulemaking if a record is wanted.</w:t>
      </w:r>
    </w:p>
    <w:p>
      <w:pPr>
        <w:pStyle w:val="Compact"/>
        <w:numPr>
          <w:ilvl w:val="0"/>
          <w:numId w:val="1008"/>
        </w:numPr>
      </w:pPr>
      <w:r>
        <w:t xml:space="preserve">Begin continuous observation and publish the observation protocol.</w:t>
      </w:r>
    </w:p>
    <w:p>
      <w:pPr>
        <w:pStyle w:val="Compact"/>
        <w:numPr>
          <w:ilvl w:val="0"/>
          <w:numId w:val="1008"/>
        </w:numPr>
      </w:pPr>
      <w:r>
        <w:t xml:space="preserve">Seek the state statute (</w:t>
      </w:r>
      <w:hyperlink r:id="rId23">
        <w:r>
          <w:rPr>
            <w:rStyle w:val="Hyperlink"/>
          </w:rPr>
          <w:t xml:space="preserve">Form F7-2</w:t>
        </w:r>
      </w:hyperlink>
      <w:r>
        <w:t xml:space="preserve">) and the federal statute (</w:t>
      </w:r>
      <w:hyperlink r:id="rId22">
        <w:r>
          <w:rPr>
            <w:rStyle w:val="Hyperlink"/>
          </w:rPr>
          <w:t xml:space="preserve">Form F7-1</w:t>
        </w:r>
      </w:hyperlink>
      <w:r>
        <w:t xml:space="preserve">) through the 501(c)(4) affiliate.</w:t>
      </w:r>
    </w:p>
    <w:p>
      <w:pPr>
        <w:pStyle w:val="Compact"/>
        <w:numPr>
          <w:ilvl w:val="0"/>
          <w:numId w:val="1008"/>
        </w:numPr>
      </w:pPr>
      <w:r>
        <w:t xml:space="preserve">Keep Forms F1-1, F1-2, and the preservation letters ready.</w:t>
      </w:r>
    </w:p>
    <w:p>
      <w:r>
        <w:pict>
          <v:rect style="width:0;height:1.5pt" o:hralign="center" o:hrstd="t" o:hr="t"/>
        </w:pict>
      </w:r>
    </w:p>
    <w:bookmarkEnd w:id="55"/>
    <w:sectPr>
      <w:headerReference w:type="default" r:id="rId9"/>
      <w:footerReference w:type="default" r:id="rId10"/>
      <w:pgSz w:h="15840" w:w="12240"/>
      <w:pgMar w:bottom="1440" w:left="1440" w:right="1440" w:top="1440" w:header="720" w:footer="576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4" w:space="4" w:color="9AA5AE"/>
      </w:pBdr>
      <w:tabs>
        <w:tab w:pos="9360" w:val="right"/>
      </w:tabs>
    </w:pPr>
    <w:r>
      <w:rPr>
        <w:rFonts w:ascii="Cambria" w:hAnsi="Cambria" w:cs="Cambria" w:eastAsia="Cambria"/>
        <w:color w:val="55606B"/>
        <w:sz w:val="17"/>
      </w:rPr>
      <w:t>Safe-Harbor Zones for Contact: Creating a Protected Place for Humans and NHI ...</w:t>
    </w:r>
    <w:r>
      <w:rPr>
        <w:rFonts w:ascii="Cambria" w:hAnsi="Cambria" w:cs="Cambria" w:eastAsia="Cambria"/>
        <w:color w:val="55606B"/>
        <w:sz w:val="17"/>
      </w:rPr>
      <w:tab/>
      <w:t xml:space="preserve">Page </w:t>
    </w:r>
    <w:r>
      <w:rPr>
        <w:rFonts w:ascii="Cambria" w:hAnsi="Cambria" w:cs="Cambria" w:eastAsia="Cambria"/>
        <w:sz w:val="17"/>
      </w:rPr>
      <w:fldChar w:fldCharType="begin"/>
    </w:r>
    <w:r>
      <w:rPr>
        <w:rFonts w:ascii="Cambria" w:hAnsi="Cambria" w:cs="Cambria" w:eastAsia="Cambria"/>
        <w:sz w:val="17"/>
      </w:rPr>
      <w:instrText xml:space="preserve"> PAGE </w:instrText>
    </w:r>
    <w:r>
      <w:rPr>
        <w:rFonts w:ascii="Cambria" w:hAnsi="Cambria" w:cs="Cambria" w:eastAsia="Cambria"/>
        <w:sz w:val="17"/>
      </w:rPr>
      <w:fldChar w:fldCharType="separate"/>
    </w:r>
    <w:r>
      <w:rPr>
        <w:rFonts w:ascii="Cambria" w:hAnsi="Cambria" w:cs="Cambria" w:eastAsia="Cambria"/>
        <w:sz w:val="17"/>
      </w:rPr>
      <w:t>1</w:t>
    </w:r>
    <w:r>
      <w:rPr>
        <w:rFonts w:ascii="Cambria" w:hAnsi="Cambria" w:cs="Cambria" w:eastAsia="Cambria"/>
        <w:sz w:val="17"/>
      </w:rP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60" w:before="0" w:line="259" w:lineRule="auto"/>
    </w:pPr>
    <w:rPr>
      <w:rFonts w:ascii="Cambria" w:cs="Cambria" w:eastAsia="Cambria" w:hAnsi="Cambria"/>
      <w:color w:val="000000"/>
      <w:sz w:val="23"/>
    </w:rPr>
  </w:style>
  <w:style w:styleId="BodyText" w:type="paragraph">
    <w:name w:val="Body Text"/>
    <w:basedOn w:val="Normal"/>
    <w:link w:val="BodyTextChar"/>
    <w:pPr>
      <w:spacing w:after="160" w:before="0" w:line="259" w:lineRule="auto"/>
    </w:pPr>
    <w:qFormat/>
    <w:rPr>
      <w:rFonts w:ascii="Cambria" w:cs="Cambria" w:eastAsia="Cambria" w:hAnsi="Cambria"/>
      <w:color w:val="000000"/>
      <w:sz w:val="23"/>
    </w:rPr>
  </w:style>
  <w:style w:customStyle="1" w:styleId="FirstParagraph" w:type="paragraph">
    <w:name w:val="First Paragraph"/>
    <w:basedOn w:val="BodyText"/>
    <w:next w:val="BodyText"/>
    <w:qFormat/>
    <w:pPr>
      <w:spacing w:after="160" w:before="0" w:line="259" w:lineRule="auto"/>
    </w:pPr>
    <w:rPr>
      <w:rFonts w:ascii="Cambria" w:cs="Cambria" w:eastAsia="Cambria" w:hAnsi="Cambria"/>
      <w:color w:val="000000"/>
      <w:sz w:val="23"/>
    </w:rPr>
  </w:style>
  <w:style w:customStyle="1" w:styleId="Compact" w:type="paragraph">
    <w:name w:val="Compact"/>
    <w:basedOn w:val="BodyText"/>
    <w:qFormat/>
    <w:pPr>
      <w:spacing w:after="160" w:before="0" w:line="259" w:lineRule="auto"/>
    </w:pPr>
    <w:rPr>
      <w:rFonts w:ascii="Cambria" w:cs="Cambria" w:eastAsia="Cambria" w:hAnsi="Cambria"/>
      <w:color w:val="000000"/>
      <w:sz w:val="23"/>
    </w:rPr>
  </w:style>
  <w:style w:styleId="Title" w:type="paragraph">
    <w:name w:val="Title"/>
    <w:basedOn w:val="Normal"/>
    <w:next w:val="BodyText"/>
    <w:qFormat/>
    <w:pPr>
      <w:keepNext/>
      <w:keepLines/>
      <w:spacing w:after="160" w:before="480"/>
      <w:jc w:val="left"/>
    </w:pPr>
    <w:rPr>
      <w:rFonts w:ascii="Cambria" w:cs="Cambria" w:eastAsia="Cambria" w:hAnsi="Cambria"/>
      <w:b/>
      <w:bCs/>
      <w:color w:val="1A2B3C"/>
      <w:sz w:val="40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160" w:before="240"/>
      <w:jc w:val="left"/>
    </w:pPr>
    <w:rPr>
      <w:rFonts w:ascii="Cambria" w:cs="Cambria" w:eastAsia="Cambria" w:hAnsi="Cambria"/>
      <w:color w:val="1A2B3C"/>
      <w:sz w:val="22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  <w:rPr>
      <w:rFonts w:ascii="Cambria" w:cs="Cambria" w:eastAsia="Cambria" w:hAnsi="Cambria"/>
      <w:color w:val="000000"/>
    </w:rPr>
  </w:style>
  <w:style w:styleId="Date" w:type="paragraph">
    <w:name w:val="Date"/>
    <w:next w:val="BodyText"/>
    <w:qFormat/>
    <w:pPr>
      <w:keepNext/>
      <w:keepLines/>
      <w:jc w:val="center"/>
    </w:pPr>
    <w:rPr>
      <w:rFonts w:ascii="Cambria" w:cs="Cambria" w:eastAsia="Cambria" w:hAnsi="Cambria"/>
      <w:color w:val="000000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color w:val="000000"/>
      <w:sz w:val="20"/>
      <w:szCs w:val="20"/>
      <w:rFonts w:ascii="Cambria" w:cs="Cambria" w:eastAsia="Cambria" w:hAnsi="Cambria"/>
      <w:b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rFonts w:ascii="Cambria" w:cs="Cambria" w:eastAsia="Cambria" w:hAnsi="Cambria"/>
      <w:color w:val="000000"/>
      <w:sz w:val="20"/>
      <w:szCs w:val="20"/>
    </w:rPr>
  </w:style>
  <w:style w:styleId="Bibliography" w:type="paragraph">
    <w:name w:val="Bibliography"/>
    <w:basedOn w:val="Normal"/>
    <w:next w:val="Bibliography"/>
    <w:qFormat/>
    <w:pPr/>
    <w:rPr>
      <w:rFonts w:ascii="Cambria" w:cs="Cambria" w:eastAsia="Cambria" w:hAnsi="Cambria"/>
      <w:color w:val="000000"/>
    </w:rPr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120" w:before="280"/>
      <w:outlineLvl w:val="0"/>
    </w:pPr>
    <w:rPr>
      <w:rFonts w:ascii="Cambria" w:cs="Cambria" w:eastAsia="Cambria" w:hAnsi="Cambria"/>
      <w:b/>
      <w:bCs/>
      <w:i w:val="0"/>
      <w:color w:val="1A2B3C"/>
      <w:sz w:val="30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120" w:before="200"/>
      <w:outlineLvl w:val="1"/>
    </w:pPr>
    <w:rPr>
      <w:rFonts w:ascii="Cambria" w:cs="Cambria" w:eastAsia="Cambria" w:hAnsi="Cambria"/>
      <w:b/>
      <w:bCs/>
      <w:i w:val="0"/>
      <w:color w:val="1A2B3C"/>
      <w:sz w:val="25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120" w:before="200"/>
      <w:outlineLvl w:val="2"/>
    </w:pPr>
    <w:rPr>
      <w:rFonts w:ascii="Cambria" w:cs="Cambria" w:eastAsia="Cambria" w:hAnsi="Cambria"/>
      <w:b/>
      <w:bCs/>
      <w:i w:val="0"/>
      <w:color w:val="1A2B3C"/>
      <w:sz w:val="23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120" w:before="200"/>
      <w:outlineLvl w:val="3"/>
    </w:pPr>
    <w:rPr>
      <w:rFonts w:ascii="Cambria" w:cs="Cambria" w:eastAsia="Cambria" w:hAnsi="Cambria"/>
      <w:i w:val="0"/>
      <w:b/>
      <w:bCs/>
      <w:color w:val="1A2B3C"/>
      <w:sz w:val="23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="Cambria" w:cs="Cambria" w:eastAsia="Cambria" w:hAnsi="Cambria"/>
      <w:iCs/>
      <w:color w:val="000000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="Cambria" w:cs="Cambria" w:eastAsia="Cambria" w:hAnsi="Cambria"/>
      <w:color w:val="000000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="Cambria" w:cs="Cambria" w:eastAsia="Cambria" w:hAnsi="Cambria"/>
      <w:color w:val="000000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="Cambria" w:cs="Cambria" w:eastAsia="Cambria" w:hAnsi="Cambria"/>
      <w:color w:val="000000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="Cambria" w:cs="Cambria" w:eastAsia="Cambria" w:hAnsi="Cambria"/>
      <w:color w:val="000000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60" w:before="0" w:line="259" w:lineRule="auto"/>
      <w:ind w:firstLine="0" w:left="720" w:right="720"/>
    </w:pPr>
    <w:rPr>
      <w:rFonts w:ascii="Cambria" w:cs="Cambria" w:eastAsia="Cambria" w:hAnsi="Cambria"/>
      <w:color w:val="000000"/>
      <w:sz w:val="23"/>
    </w:rPr>
  </w:style>
  <w:style w:styleId="FootnoteText" w:type="paragraph">
    <w:name w:val="Footnote Text"/>
    <w:basedOn w:val="Normal"/>
    <w:next w:val="FootnoteText"/>
    <w:uiPriority w:val="9"/>
    <w:unhideWhenUsed/>
    <w:qFormat/>
    <w:rPr>
      <w:rFonts w:ascii="Cambria" w:cs="Cambria" w:eastAsia="Cambria" w:hAnsi="Cambria"/>
      <w:color w:val="000000"/>
    </w:rPr>
  </w:style>
  <w:style w:default="1" w:styleId="DefaultParagraphFont" w:type="character">
    <w:name w:val="Default Paragraph Font"/>
    <w:semiHidden/>
    <w:unhideWhenUsed/>
    <w:rPr>
      <w:rFonts w:ascii="Cambria" w:cs="Cambria" w:eastAsia="Cambria" w:hAnsi="Cambria"/>
      <w:color w:val="000000"/>
    </w:rPr>
  </w:style>
  <w:style w:default="1" w:styleId="Table" w:type="table">
    <w:name w:val="Table"/>
    <w:basedOn w:val="TableNormal"/>
    <w:semiHidden/>
    <w:unhideWhenUsed/>
    <w:qFormat/>
    <w:tblPr>
      <w:tblInd w:type="dxa" w:w="0"/>
      <w:tblBorders>
        <w:top w:color="1A2B3C" w:space="0" w:sz="8" w:val="single"/>
        <w:bottom w:color="1A2B3C" w:space="0" w:sz="8" w:val="single"/>
        <w:insideH w:color="9AA5AE" w:space="0" w:sz="4" w:val="single"/>
      </w:tblBorders>
      <w:tblCellMar>
        <w:top w:type="dxa" w:w="0"/>
        <w:left w:type="dxa" w:w="108"/>
        <w:bottom w:type="dxa" w:w="0"/>
        <w:right w:type="dxa" w:w="108"/>
      </w:tblCellMar>
      <w:tblCellMar>
        <w:top w:type="dxa" w:w="50"/>
        <w:bottom w:type="dxa" w:w="50"/>
        <w:left w:type="dxa" w:w="80"/>
        <w:right w:type="dxa" w:w="80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rFonts w:ascii="Cambria" w:cs="Cambria" w:eastAsia="Cambria" w:hAnsi="Cambria"/>
      <w:b/>
      <w:color w:val="000000"/>
    </w:rPr>
  </w:style>
  <w:style w:customStyle="1" w:styleId="Definition" w:type="paragraph">
    <w:name w:val="Definition"/>
    <w:basedOn w:val="Normal"/>
    <w:rPr>
      <w:rFonts w:ascii="Cambria" w:cs="Cambria" w:eastAsia="Cambria" w:hAnsi="Cambria"/>
      <w:color w:val="000000"/>
    </w:rPr>
  </w:style>
  <w:style w:styleId="Caption" w:type="paragraph">
    <w:name w:val="Caption"/>
    <w:basedOn w:val="Normal"/>
    <w:link w:val="BodyTextChar"/>
    <w:pPr>
      <w:spacing w:after="120" w:before="0"/>
    </w:pPr>
    <w:rPr>
      <w:rFonts w:ascii="Cambria" w:cs="Cambria" w:eastAsia="Cambria" w:hAnsi="Cambria"/>
      <w:i/>
      <w:color w:val="000000"/>
    </w:rPr>
  </w:style>
  <w:style w:customStyle="1" w:styleId="TableCaption" w:type="paragraph">
    <w:name w:val="Table Caption"/>
    <w:basedOn w:val="Caption"/>
    <w:pPr>
      <w:keepNext/>
    </w:pPr>
    <w:rPr>
      <w:rFonts w:ascii="Cambria" w:cs="Cambria" w:eastAsia="Cambria" w:hAnsi="Cambria"/>
      <w:color w:val="000000"/>
    </w:rPr>
  </w:style>
  <w:style w:customStyle="1" w:styleId="ImageCaption" w:type="paragraph">
    <w:name w:val="Image Caption"/>
    <w:basedOn w:val="Caption"/>
    <w:rPr>
      <w:rFonts w:ascii="Cambria" w:cs="Cambria" w:eastAsia="Cambria" w:hAnsi="Cambria"/>
      <w:color w:val="000000"/>
    </w:rPr>
  </w:style>
  <w:style w:customStyle="1" w:styleId="Figure" w:type="paragraph">
    <w:name w:val="Figure"/>
    <w:basedOn w:val="Normal"/>
    <w:rPr>
      <w:rFonts w:ascii="Cambria" w:cs="Cambria" w:eastAsia="Cambria" w:hAnsi="Cambria"/>
      <w:color w:val="000000"/>
    </w:rPr>
  </w:style>
  <w:style w:customStyle="1" w:styleId="CaptionedFigure" w:type="paragraph">
    <w:name w:val="Captioned Figure"/>
    <w:basedOn w:val="Figure"/>
    <w:pPr>
      <w:keepNext/>
    </w:pPr>
    <w:rPr>
      <w:rFonts w:ascii="Cambria" w:cs="Cambria" w:eastAsia="Cambria" w:hAnsi="Cambria"/>
      <w:color w:val="000000"/>
    </w:rPr>
  </w:style>
  <w:style w:customStyle="1" w:styleId="BodyTextChar" w:type="character">
    <w:name w:val="Body Text Char"/>
    <w:basedOn w:val="DefaultParagraphFont"/>
    <w:link w:val="BodyText"/>
    <w:rPr>
      <w:rFonts w:ascii="Cambria" w:cs="Cambria" w:eastAsia="Cambria" w:hAnsi="Cambria"/>
      <w:color w:val="000000"/>
    </w:rPr>
  </w:style>
  <w:style w:customStyle="1" w:styleId="VerbatimChar" w:type="character">
    <w:name w:val="Verbatim Char"/>
    <w:basedOn w:val="BodyTextChar"/>
    <w:rPr>
      <w:rFonts w:ascii="Cambria" w:cs="Cambria" w:eastAsia="Cambria" w:hAnsi="Cambria"/>
      <w:color w:val="000000"/>
      <w:sz w:val="22"/>
    </w:rPr>
  </w:style>
  <w:style w:customStyle="1" w:styleId="SectionNumber" w:type="character">
    <w:name w:val="Section Number"/>
    <w:basedOn w:val="BodyTextChar"/>
    <w:rPr>
      <w:rFonts w:ascii="Cambria" w:cs="Cambria" w:eastAsia="Cambria" w:hAnsi="Cambria"/>
      <w:color w:val="000000"/>
    </w:rPr>
  </w:style>
  <w:style w:styleId="FootnoteReference" w:type="character">
    <w:name w:val="Footnote Reference"/>
    <w:basedOn w:val="BodyTextChar"/>
    <w:rPr>
      <w:rFonts w:ascii="Cambria" w:cs="Cambria" w:eastAsia="Cambria" w:hAnsi="Cambria"/>
      <w:color w:val="000000"/>
      <w:vertAlign w:val="superscript"/>
    </w:rPr>
  </w:style>
  <w:style w:styleId="Hyperlink" w:type="character">
    <w:name w:val="Hyperlink"/>
    <w:basedOn w:val="BodyTextChar"/>
    <w:rPr>
      <w:rFonts w:ascii="Cambria" w:cs="Cambria" w:eastAsia="Cambria" w:hAnsi="Cambria"/>
      <w:color w:val="1F6E6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="Cambria" w:cs="Cambria" w:eastAsia="Cambria" w:hAnsi="Cambria"/>
      <w:b w:val="0"/>
      <w:bCs w:val="0"/>
      <w:color w:val="000000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20" Type="http://schemas.openxmlformats.org/officeDocument/2006/relationships/hyperlink" Target="https://emergentfrontiers.com" TargetMode="External"/><Relationship Id="rId27" Type="http://schemas.openxmlformats.org/officeDocument/2006/relationships/hyperlink" Target="https://nhilaw.com/forms/f2-1.html" TargetMode="External"/><Relationship Id="rId52" Type="http://schemas.openxmlformats.org/officeDocument/2006/relationships/hyperlink" Target="https://nhilaw.com/forms/f3-1.html" TargetMode="External"/><Relationship Id="rId49" Type="http://schemas.openxmlformats.org/officeDocument/2006/relationships/hyperlink" Target="https://nhilaw.com/forms/f3-2.html" TargetMode="External"/><Relationship Id="rId22" Type="http://schemas.openxmlformats.org/officeDocument/2006/relationships/hyperlink" Target="https://nhilaw.com/forms/f7-1.html" TargetMode="External"/><Relationship Id="rId23" Type="http://schemas.openxmlformats.org/officeDocument/2006/relationships/hyperlink" Target="https://nhilaw.com/forms/f7-2.html" TargetMode="External"/><Relationship Id="rId32" Type="http://schemas.openxmlformats.org/officeDocument/2006/relationships/hyperlink" Target="https://nhilaw.com/forms/f7-3.html" TargetMode="External"/><Relationship Id="rId51" Type="http://schemas.openxmlformats.org/officeDocument/2006/relationships/hyperlink" Target="https://nhilaw.com/forms/f7-4.html" TargetMode="External"/><Relationship Id="rId26" Type="http://schemas.openxmlformats.org/officeDocument/2006/relationships/hyperlink" Target="https://nhilaw.com/issues/a1.html" TargetMode="External"/><Relationship Id="rId36" Type="http://schemas.openxmlformats.org/officeDocument/2006/relationships/hyperlink" Target="https://nhilaw.com/issues/a3.html" TargetMode="External"/><Relationship Id="rId54" Type="http://schemas.openxmlformats.org/officeDocument/2006/relationships/hyperlink" Target="https://nhilaw.com/issues/c5.html" TargetMode="External"/><Relationship Id="rId21" Type="http://schemas.openxmlformats.org/officeDocument/2006/relationships/hyperlink" Target="https://nhilaw.com/issues/f2.html" TargetMode="External"/><Relationship Id="rId24" Type="http://schemas.openxmlformats.org/officeDocument/2006/relationships/hyperlink" Target="https://nhilaw.com/issues/f3.html" TargetMode="External"/><Relationship Id="rId39" Type="http://schemas.openxmlformats.org/officeDocument/2006/relationships/hyperlink" Target="https://nhilaw.com/issues/f5.html" TargetMode="External"/><Relationship Id="rId38" Type="http://schemas.openxmlformats.org/officeDocument/2006/relationships/hyperlink" Target="https://nhilaw.com/issues/f6.html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notes.xml.rels><?xml version='1.0' encoding='UTF-8' standalone='yes'?>
<Relationships xmlns="http://schemas.openxmlformats.org/package/2006/relationships"><Relationship Id="rId20" Type="http://schemas.openxmlformats.org/officeDocument/2006/relationships/hyperlink" Target="https://emergentfrontiers.com" TargetMode="External"/><Relationship Id="rId27" Type="http://schemas.openxmlformats.org/officeDocument/2006/relationships/hyperlink" Target="https://nhilaw.com/forms/f2-1.html" TargetMode="External"/><Relationship Id="rId52" Type="http://schemas.openxmlformats.org/officeDocument/2006/relationships/hyperlink" Target="https://nhilaw.com/forms/f3-1.html" TargetMode="External"/><Relationship Id="rId49" Type="http://schemas.openxmlformats.org/officeDocument/2006/relationships/hyperlink" Target="https://nhilaw.com/forms/f3-2.html" TargetMode="External"/><Relationship Id="rId22" Type="http://schemas.openxmlformats.org/officeDocument/2006/relationships/hyperlink" Target="https://nhilaw.com/forms/f7-1.html" TargetMode="External"/><Relationship Id="rId23" Type="http://schemas.openxmlformats.org/officeDocument/2006/relationships/hyperlink" Target="https://nhilaw.com/forms/f7-2.html" TargetMode="External"/><Relationship Id="rId32" Type="http://schemas.openxmlformats.org/officeDocument/2006/relationships/hyperlink" Target="https://nhilaw.com/forms/f7-3.html" TargetMode="External"/><Relationship Id="rId51" Type="http://schemas.openxmlformats.org/officeDocument/2006/relationships/hyperlink" Target="https://nhilaw.com/forms/f7-4.html" TargetMode="External"/><Relationship Id="rId26" Type="http://schemas.openxmlformats.org/officeDocument/2006/relationships/hyperlink" Target="https://nhilaw.com/issues/a1.html" TargetMode="External"/><Relationship Id="rId36" Type="http://schemas.openxmlformats.org/officeDocument/2006/relationships/hyperlink" Target="https://nhilaw.com/issues/a3.html" TargetMode="External"/><Relationship Id="rId54" Type="http://schemas.openxmlformats.org/officeDocument/2006/relationships/hyperlink" Target="https://nhilaw.com/issues/c5.html" TargetMode="External"/><Relationship Id="rId21" Type="http://schemas.openxmlformats.org/officeDocument/2006/relationships/hyperlink" Target="https://nhilaw.com/issues/f2.html" TargetMode="External"/><Relationship Id="rId24" Type="http://schemas.openxmlformats.org/officeDocument/2006/relationships/hyperlink" Target="https://nhilaw.com/issues/f3.html" TargetMode="External"/><Relationship Id="rId39" Type="http://schemas.openxmlformats.org/officeDocument/2006/relationships/hyperlink" Target="https://nhilaw.com/issues/f5.html" TargetMode="External"/><Relationship Id="rId38" Type="http://schemas.openxmlformats.org/officeDocument/2006/relationships/hyperlink" Target="https://nhilaw.com/issues/f6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Safe-Harbor Zones for Contact: Creating a Protected Place for Humans and NHI to Meet</dc:title>
  <dc:creator>nhilaw.com</dc:creator>
  <cp:keywords/>
  <dcterms:created xsi:type="dcterms:W3CDTF">2026-10-19T03:15:27Z</dcterms:created>
  <dcterms:modified xsi:type="dcterms:W3CDTF">2026-10-19T03:15:27Z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Version 1.10 · October 2026 · nhilaw.com/issues/f7.html</vt:lpwstr>
  </property>
</Properties>
</file>