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4" w:name="X2bcaabe5f9232e25efbb3af98067d088276a202"/>
    <w:p>
      <w:pPr>
        <w:pStyle w:val="Heading1"/>
      </w:pPr>
      <w:r>
        <w:t xml:space="preserve">Form G1-1. Editorial Standards and Pre-Publication Checklist for Content Naming Officials, Contractors, or Witnesses</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https://nhilaw.com/forms/g1-1.html</w:t>
      </w:r>
    </w:p>
    <w:p>
      <w:pPr>
        <w:pStyle w:val="BodyText"/>
        <w:spacing w:after="160" w:line="259" w:lineRule="auto"/>
      </w:pPr>
      <w:r>
        <w:rPr>
          <w:bCs/>
          <w:b/>
        </w:rPr>
        <w:t xml:space="preserve">Use.</w:t>
      </w:r>
      <w:r>
        <w:t xml:space="preserve"> </w:t>
      </w:r>
      <w:hyperlink r:id="rId20">
        <w:r>
          <w:rPr>
            <w:rStyle w:val="Hyperlink"/>
          </w:rPr>
          <w:t xml:space="preserve">Issue G1</w:t>
        </w:r>
      </w:hyperlink>
      <w:r>
        <w:t xml:space="preserve"> </w:t>
      </w:r>
      <w:r>
        <w:t xml:space="preserve">identifies the protections available to a publisher that reports allegations of</w:t>
      </w:r>
      <w:r>
        <w:t xml:space="preserve"> </w:t>
      </w:r>
      <w:r>
        <w:t xml:space="preserve">concealment, deception, and harm: the actual-malice rule for public officials and public figures, the</w:t>
      </w:r>
      <w:r>
        <w:t xml:space="preserve"> </w:t>
      </w:r>
      <w:r>
        <w:t xml:space="preserve">fair report privilege for accounts of official proceedings, protection for opinion based on disclosed</w:t>
      </w:r>
      <w:r>
        <w:t xml:space="preserve"> </w:t>
      </w:r>
      <w:r>
        <w:t xml:space="preserve">facts, Section 230 for third-party content, and California’s anti-SLAPP statute. Each protection</w:t>
      </w:r>
      <w:r>
        <w:t xml:space="preserve"> </w:t>
      </w:r>
      <w:r>
        <w:t xml:space="preserve">depends on how the content is written and documented. This policy turns those requirements into rules</w:t>
      </w:r>
      <w:r>
        <w:t xml:space="preserve"> </w:t>
      </w:r>
      <w:r>
        <w:t xml:space="preserve">an editor can apply before publication.</w:t>
      </w:r>
    </w:p>
    <w:p>
      <w:pPr>
        <w:pStyle w:val="BodyText"/>
        <w:spacing w:after="160" w:line="259" w:lineRule="auto"/>
      </w:pPr>
      <w:r>
        <w:rPr>
          <w:bCs/>
          <w:b/>
        </w:rPr>
        <w:t xml:space="preserve">When to use.</w:t>
      </w:r>
      <w:r>
        <w:t xml:space="preserve"> </w:t>
      </w:r>
      <w:r>
        <w:t xml:space="preserve">Any publisher, podcaster, author, or research organization publishing UAP allegations about named people or companies.</w:t>
      </w:r>
      <w:r>
        <w:t xml:space="preserve"> </w:t>
      </w:r>
      <w:r>
        <w:rPr>
          <w:bCs/>
          <w:b/>
        </w:rPr>
        <w:t xml:space="preserve">Not for:</w:t>
      </w:r>
      <w:r>
        <w:t xml:space="preserve"> </w:t>
      </w:r>
      <w:r>
        <w:t xml:space="preserve">Purely scientific reporting with no allegations of wrongdoing.</w:t>
      </w:r>
    </w:p>
    <w:p>
      <w:pPr>
        <w:pStyle w:val="BodyText"/>
        <w:spacing w:after="160" w:line="259" w:lineRule="auto"/>
      </w:pPr>
      <w:r>
        <w:rPr>
          <w:bCs/>
          <w:b/>
        </w:rPr>
        <w:t xml:space="preserve">Deadlines.</w:t>
      </w:r>
      <w:r>
        <w:t xml:space="preserve"> </w:t>
      </w:r>
      <w:r>
        <w:t xml:space="preserve">Apply before publication.</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rPr>
          <w:bCs/>
          <w:b/>
        </w:rPr>
        <w:t xml:space="preserve">[PUBLISHER] EDITORIAL STANDARDS</w:t>
      </w:r>
    </w:p>
    <w:p>
      <w:pPr>
        <w:pStyle w:val="BodyText"/>
      </w:pPr>
      <w:r>
        <w:rPr>
          <w:bCs/>
          <w:b/>
        </w:rPr>
        <w:t xml:space="preserve">1. Allegations are reported as allegations.</w:t>
      </w:r>
      <w:r>
        <w:t xml:space="preserve"> </w:t>
      </w:r>
      <w:r>
        <w:t xml:space="preserve">Every statement that a named person or company did</w:t>
      </w:r>
      <w:r>
        <w:t xml:space="preserve"> </w:t>
      </w:r>
      <w:r>
        <w:t xml:space="preserve">something wrongful must identify who made the allegation, where, and when, for example:</w:t>
      </w:r>
      <w:r>
        <w:t xml:space="preserve"> </w:t>
      </w:r>
      <w:r>
        <w:t xml:space="preserve">“</w:t>
      </w:r>
      <w:r>
        <w:t xml:space="preserve">In sworn</w:t>
      </w:r>
      <w:r>
        <w:t xml:space="preserve"> </w:t>
      </w:r>
      <w:r>
        <w:t xml:space="preserve">testimony before the House Committee on Oversight and Accountability on July 26, 2023, [witness]</w:t>
      </w:r>
      <w:r>
        <w:t xml:space="preserve"> </w:t>
      </w:r>
      <w:r>
        <w:t xml:space="preserve">stated that …</w:t>
      </w:r>
      <w:r>
        <w:t xml:space="preserve">”</w:t>
      </w:r>
      <w:r>
        <w:t xml:space="preserve">. The site does not state an allegation as its own finding of fact unless the editor</w:t>
      </w:r>
      <w:r>
        <w:t xml:space="preserve"> </w:t>
      </w:r>
      <w:r>
        <w:t xml:space="preserve">has documentary proof meeting Section 4.</w:t>
      </w:r>
    </w:p>
    <w:p>
      <w:pPr>
        <w:pStyle w:val="BodyText"/>
      </w:pPr>
      <w:r>
        <w:rPr>
          <w:bCs/>
          <w:b/>
        </w:rPr>
        <w:t xml:space="preserve">2. Official sources first.</w:t>
      </w:r>
      <w:r>
        <w:t xml:space="preserve"> </w:t>
      </w:r>
      <w:r>
        <w:t xml:space="preserve">Prefer, in order: statutes and enacted reports; sworn testimony before</w:t>
      </w:r>
      <w:r>
        <w:t xml:space="preserve"> </w:t>
      </w:r>
      <w:r>
        <w:t xml:space="preserve">Congress or a court; court filings and opinions; agency releases and inspector general reports; on-the-</w:t>
      </w:r>
      <w:r>
        <w:t xml:space="preserve"> </w:t>
      </w:r>
      <w:r>
        <w:t xml:space="preserve">record statements of named persons; reputable journalism. When the source is an official proceeding or</w:t>
      </w:r>
      <w:r>
        <w:t xml:space="preserve"> </w:t>
      </w:r>
      <w:r>
        <w:t xml:space="preserve">record, the report must be fair and accurate and must say what the source is, so that the fair report</w:t>
      </w:r>
      <w:r>
        <w:t xml:space="preserve"> </w:t>
      </w:r>
      <w:r>
        <w:t xml:space="preserve">privilege applies (Cal. Civ. Code §47(d)). Do not add allegations from other sources to an account of</w:t>
      </w:r>
      <w:r>
        <w:t xml:space="preserve"> </w:t>
      </w:r>
      <w:r>
        <w:t xml:space="preserve">an official proceeding without separating them.</w:t>
      </w:r>
    </w:p>
    <w:p>
      <w:pPr>
        <w:pStyle w:val="BodyText"/>
      </w:pPr>
      <w:r>
        <w:rPr>
          <w:bCs/>
          <w:b/>
        </w:rPr>
        <w:t xml:space="preserve">3. Analysis is labeled and based on disclosed facts.</w:t>
      </w:r>
      <w:r>
        <w:t xml:space="preserve"> </w:t>
      </w:r>
      <w:r>
        <w:t xml:space="preserve">Legal analysis and opinion must be identified</w:t>
      </w:r>
      <w:r>
        <w:t xml:space="preserve"> </w:t>
      </w:r>
      <w:r>
        <w:t xml:space="preserve">as analysis and must state the facts on which they rest. Conclusions such as</w:t>
      </w:r>
      <w:r>
        <w:t xml:space="preserve"> </w:t>
      </w:r>
      <w:r>
        <w:t xml:space="preserve">“</w:t>
      </w:r>
      <w:r>
        <w:t xml:space="preserve">the statement appears</w:t>
      </w:r>
      <w:r>
        <w:t xml:space="preserve"> </w:t>
      </w:r>
      <w:r>
        <w:t xml:space="preserve">inconsistent with the record</w:t>
      </w:r>
      <w:r>
        <w:t xml:space="preserve">”</w:t>
      </w:r>
      <w:r>
        <w:t xml:space="preserve"> </w:t>
      </w:r>
      <w:r>
        <w:t xml:space="preserve">are acceptable when the record is cited; conclusions that imply</w:t>
      </w:r>
      <w:r>
        <w:t xml:space="preserve"> </w:t>
      </w:r>
      <w:r>
        <w:t xml:space="preserve">undisclosed defamatory facts are not.</w:t>
      </w:r>
    </w:p>
    <w:p>
      <w:pPr>
        <w:pStyle w:val="BodyText"/>
      </w:pPr>
      <w:r>
        <w:rPr>
          <w:bCs/>
          <w:b/>
        </w:rPr>
        <w:t xml:space="preserve">4. Private individuals.</w:t>
      </w:r>
      <w:r>
        <w:t xml:space="preserve"> </w:t>
      </w:r>
      <w:r>
        <w:t xml:space="preserve">Do not name a private individual (one who has not voluntarily entered the</w:t>
      </w:r>
      <w:r>
        <w:t xml:space="preserve"> </w:t>
      </w:r>
      <w:r>
        <w:t xml:space="preserve">UAP controversy and does not hold public office or a senior public role) as having engaged in</w:t>
      </w:r>
      <w:r>
        <w:t xml:space="preserve"> </w:t>
      </w:r>
      <w:r>
        <w:t xml:space="preserve">wrongdoing unless (a) a court, agency, or legislative body has made that finding, or (b) the</w:t>
      </w:r>
      <w:r>
        <w:t xml:space="preserve"> </w:t>
      </w:r>
      <w:r>
        <w:t xml:space="preserve">statement is supported by documents the editor has reviewed and retained, and the individual has been</w:t>
      </w:r>
      <w:r>
        <w:t xml:space="preserve"> </w:t>
      </w:r>
      <w:r>
        <w:t xml:space="preserve">given a chance to respond. Negligence is enough for liability to a private figure in most states, so</w:t>
      </w:r>
      <w:r>
        <w:t xml:space="preserve"> </w:t>
      </w:r>
      <w:r>
        <w:t xml:space="preserve">the standard of care here is higher than for public figures.</w:t>
      </w:r>
    </w:p>
    <w:p>
      <w:pPr>
        <w:pStyle w:val="BodyText"/>
      </w:pPr>
      <w:r>
        <w:rPr>
          <w:bCs/>
          <w:b/>
        </w:rPr>
        <w:t xml:space="preserve">5. Opportunity to respond.</w:t>
      </w:r>
      <w:r>
        <w:t xml:space="preserve"> </w:t>
      </w:r>
      <w:r>
        <w:t xml:space="preserve">Before publishing a new allegation of wrongdoing against a named person</w:t>
      </w:r>
      <w:r>
        <w:t xml:space="preserve"> </w:t>
      </w:r>
      <w:r>
        <w:t xml:space="preserve">or company (one not already reported in an official source), send a request for comment describing</w:t>
      </w:r>
      <w:r>
        <w:t xml:space="preserve"> </w:t>
      </w:r>
      <w:r>
        <w:t xml:space="preserve">the allegation with enough detail to permit a response, allow a reasonable time (ordinarily [three]</w:t>
      </w:r>
      <w:r>
        <w:t xml:space="preserve"> </w:t>
      </w:r>
      <w:r>
        <w:t xml:space="preserve">business days), and report any response or the fact of no response.</w:t>
      </w:r>
    </w:p>
    <w:p>
      <w:pPr>
        <w:pStyle w:val="BodyText"/>
      </w:pPr>
      <w:r>
        <w:rPr>
          <w:bCs/>
          <w:b/>
        </w:rPr>
        <w:t xml:space="preserve">6. Classified information.</w:t>
      </w:r>
      <w:r>
        <w:t xml:space="preserve"> </w:t>
      </w:r>
      <w:r>
        <w:t xml:space="preserve">Do not publish information the editor knows or has reason to believe is</w:t>
      </w:r>
      <w:r>
        <w:t xml:space="preserve"> </w:t>
      </w:r>
      <w:r>
        <w:t xml:space="preserve">classified and was obtained without authorization, except after review under</w:t>
      </w:r>
      <w:r>
        <w:t xml:space="preserve"> </w:t>
      </w:r>
      <w:hyperlink r:id="rId21">
        <w:r>
          <w:rPr>
            <w:rStyle w:val="Hyperlink"/>
          </w:rPr>
          <w:t xml:space="preserve">Form B4-2</w:t>
        </w:r>
      </w:hyperlink>
      <w:r>
        <w:t xml:space="preserve"> </w:t>
      </w:r>
      <w:r>
        <w:t xml:space="preserve">(newsroom</w:t>
      </w:r>
      <w:r>
        <w:t xml:space="preserve"> </w:t>
      </w:r>
      <w:r>
        <w:t xml:space="preserve">protocol). Do not solicit classified information.</w:t>
      </w:r>
    </w:p>
    <w:p>
      <w:pPr>
        <w:pStyle w:val="BodyText"/>
      </w:pPr>
      <w:r>
        <w:rPr>
          <w:bCs/>
          <w:b/>
        </w:rPr>
        <w:t xml:space="preserve">7. Witnesses and experiencers.</w:t>
      </w:r>
      <w:r>
        <w:t xml:space="preserve"> </w:t>
      </w:r>
      <w:r>
        <w:t xml:space="preserve">Publish a witness’s name only with the witness’s written consent.</w:t>
      </w:r>
      <w:r>
        <w:t xml:space="preserve"> </w:t>
      </w:r>
      <w:r>
        <w:t xml:space="preserve">Do not publish medical or mental health information about any person without consent.</w:t>
      </w:r>
    </w:p>
    <w:p>
      <w:pPr>
        <w:pStyle w:val="BodyText"/>
      </w:pPr>
      <w:r>
        <w:rPr>
          <w:bCs/>
          <w:b/>
        </w:rPr>
        <w:t xml:space="preserve">8. Corrections.</w:t>
      </w:r>
      <w:r>
        <w:t xml:space="preserve"> </w:t>
      </w:r>
      <w:r>
        <w:t xml:space="preserve">Correct errors of fact promptly and visibly, with the date of correction. Maintain a</w:t>
      </w:r>
      <w:r>
        <w:t xml:space="preserve"> </w:t>
      </w:r>
      <w:r>
        <w:t xml:space="preserve">corrections log. Respond to any retraction demand under</w:t>
      </w:r>
      <w:r>
        <w:t xml:space="preserve"> </w:t>
      </w:r>
      <w:hyperlink r:id="rId22">
        <w:r>
          <w:rPr>
            <w:rStyle w:val="Hyperlink"/>
          </w:rPr>
          <w:t xml:space="preserve">Form G1-2</w:t>
        </w:r>
      </w:hyperlink>
      <w:r>
        <w:t xml:space="preserve">.</w:t>
      </w:r>
    </w:p>
    <w:p>
      <w:pPr>
        <w:pStyle w:val="BodyText"/>
      </w:pPr>
      <w:r>
        <w:rPr>
          <w:bCs/>
          <w:b/>
        </w:rPr>
        <w:t xml:space="preserve">9. User content.</w:t>
      </w:r>
      <w:r>
        <w:t xml:space="preserve"> </w:t>
      </w:r>
      <w:r>
        <w:t xml:space="preserve">Comments and submissions are moderated for legality and relevance. Editors may</w:t>
      </w:r>
      <w:r>
        <w:t xml:space="preserve"> </w:t>
      </w:r>
      <w:r>
        <w:t xml:space="preserve">remove user content but must not edit it in ways that change its meaning. Content the publisher writes or</w:t>
      </w:r>
      <w:r>
        <w:t xml:space="preserve"> </w:t>
      </w:r>
      <w:r>
        <w:t xml:space="preserve">materially develops is the publisher’s own content and is not protected by 47 U.S.C. §230.</w:t>
      </w:r>
    </w:p>
    <w:p>
      <w:pPr>
        <w:pStyle w:val="BodyText"/>
      </w:pPr>
      <w:r>
        <w:rPr>
          <w:bCs/>
          <w:b/>
        </w:rPr>
        <w:t xml:space="preserve">10. Records.</w:t>
      </w:r>
      <w:r>
        <w:t xml:space="preserve"> </w:t>
      </w:r>
      <w:r>
        <w:t xml:space="preserve">Keep, for each published item naming a person or company: the sources relied on, the</w:t>
      </w:r>
      <w:r>
        <w:t xml:space="preserve"> </w:t>
      </w:r>
      <w:r>
        <w:t xml:space="preserve">request for comment and any response, the editor’s sign-off, and later corrections. Keep records for</w:t>
      </w:r>
      <w:r>
        <w:t xml:space="preserve"> </w:t>
      </w:r>
      <w:r>
        <w:t xml:space="preserve">at least [three] years after the last publication or update of the item.</w:t>
      </w:r>
    </w:p>
    <w:p>
      <w:pPr>
        <w:pStyle w:val="BodyText"/>
      </w:pPr>
      <w:r>
        <w:br w:type="page"/>
      </w:r>
    </w:p>
    <w:p>
      <w:pPr>
        <w:pStyle w:val="BodyText"/>
      </w:pPr>
      <w:r>
        <w:rPr>
          <w:bCs/>
          <w:b/>
        </w:rPr>
        <w:t xml:space="preserve">PRE-PUBLICATION CHECKLIST</w:t>
      </w:r>
      <w:r>
        <w:t xml:space="preserve"> </w:t>
      </w:r>
      <w:r>
        <w:t xml:space="preserve">(complete for each item that names a person or company)</w:t>
      </w:r>
    </w:p>
    <w:tbl>
      <w:tblPr>
        <w:tblStyle w:val="Table"/>
        <w:tblW w:type="pct" w:w="5000"/>
        <w:jc w:val="start"/>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Question</w:t>
            </w:r>
          </w:p>
        </w:tc>
        <w:tc>
          <w:tcPr/>
          <w:p>
            <w:pPr>
              <w:pStyle w:val="Compact"/>
              <w:jc w:val="left"/>
            </w:pPr>
            <w:r>
              <w:t xml:space="preserve">Yes / No / N.A.</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Is every allegation attributed to a named source with date and forum?</w:t>
            </w:r>
          </w:p>
        </w:tc>
        <w:tc>
          <w:tcPr/>
          <w:p>
            <w:pPr>
              <w:pStyle w:val="Compact"/>
            </w:pPr>
          </w:p>
        </w:tc>
        <w:tc>
          <w:tcPr/>
          <w:p>
            <w:pPr>
              <w:pStyle w:val="Compact"/>
            </w:pPr>
          </w:p>
        </w:tc>
      </w:tr>
      <w:tr>
        <w:tc>
          <w:tcPr/>
          <w:p>
            <w:pPr>
              <w:pStyle w:val="Compact"/>
              <w:jc w:val="left"/>
            </w:pPr>
            <w:r>
              <w:t xml:space="preserve">2</w:t>
            </w:r>
          </w:p>
        </w:tc>
        <w:tc>
          <w:tcPr/>
          <w:p>
            <w:pPr>
              <w:pStyle w:val="Compact"/>
              <w:jc w:val="left"/>
            </w:pPr>
            <w:r>
              <w:t xml:space="preserve">For accounts of official proceedings or records: is the account fair and accurate, and is the source identified?</w:t>
            </w:r>
          </w:p>
        </w:tc>
        <w:tc>
          <w:tcPr/>
          <w:p>
            <w:pPr>
              <w:pStyle w:val="Compact"/>
            </w:pPr>
          </w:p>
        </w:tc>
        <w:tc>
          <w:tcPr/>
          <w:p>
            <w:pPr>
              <w:pStyle w:val="Compact"/>
            </w:pPr>
          </w:p>
        </w:tc>
      </w:tr>
      <w:tr>
        <w:tc>
          <w:tcPr/>
          <w:p>
            <w:pPr>
              <w:pStyle w:val="Compact"/>
              <w:jc w:val="left"/>
            </w:pPr>
            <w:r>
              <w:t xml:space="preserve">3</w:t>
            </w:r>
          </w:p>
        </w:tc>
        <w:tc>
          <w:tcPr/>
          <w:p>
            <w:pPr>
              <w:pStyle w:val="Compact"/>
              <w:jc w:val="left"/>
            </w:pPr>
            <w:r>
              <w:t xml:space="preserve">Is each person named a public official or public figure for this subject? If not, does Standard 4 permit naming?</w:t>
            </w:r>
          </w:p>
        </w:tc>
        <w:tc>
          <w:tcPr/>
          <w:p>
            <w:pPr>
              <w:pStyle w:val="Compact"/>
            </w:pPr>
          </w:p>
        </w:tc>
        <w:tc>
          <w:tcPr/>
          <w:p>
            <w:pPr>
              <w:pStyle w:val="Compact"/>
            </w:pPr>
          </w:p>
        </w:tc>
      </w:tr>
      <w:tr>
        <w:tc>
          <w:tcPr/>
          <w:p>
            <w:pPr>
              <w:pStyle w:val="Compact"/>
              <w:jc w:val="left"/>
            </w:pPr>
            <w:r>
              <w:t xml:space="preserve">4</w:t>
            </w:r>
          </w:p>
        </w:tc>
        <w:tc>
          <w:tcPr/>
          <w:p>
            <w:pPr>
              <w:pStyle w:val="Compact"/>
              <w:jc w:val="left"/>
            </w:pPr>
            <w:r>
              <w:t xml:space="preserve">Are analysis and opinion labeled, and are the underlying facts disclosed and cited?</w:t>
            </w:r>
          </w:p>
        </w:tc>
        <w:tc>
          <w:tcPr/>
          <w:p>
            <w:pPr>
              <w:pStyle w:val="Compact"/>
            </w:pPr>
          </w:p>
        </w:tc>
        <w:tc>
          <w:tcPr/>
          <w:p>
            <w:pPr>
              <w:pStyle w:val="Compact"/>
            </w:pPr>
          </w:p>
        </w:tc>
      </w:tr>
      <w:tr>
        <w:tc>
          <w:tcPr/>
          <w:p>
            <w:pPr>
              <w:pStyle w:val="Compact"/>
              <w:jc w:val="left"/>
            </w:pPr>
            <w:r>
              <w:t xml:space="preserve">5</w:t>
            </w:r>
          </w:p>
        </w:tc>
        <w:tc>
          <w:tcPr/>
          <w:p>
            <w:pPr>
              <w:pStyle w:val="Compact"/>
              <w:jc w:val="left"/>
            </w:pPr>
            <w:r>
              <w:t xml:space="preserve">Has a request for comment been sent (Standard 5), and is any response reported?</w:t>
            </w:r>
          </w:p>
        </w:tc>
        <w:tc>
          <w:tcPr/>
          <w:p>
            <w:pPr>
              <w:pStyle w:val="Compact"/>
            </w:pPr>
          </w:p>
        </w:tc>
        <w:tc>
          <w:tcPr/>
          <w:p>
            <w:pPr>
              <w:pStyle w:val="Compact"/>
            </w:pPr>
          </w:p>
        </w:tc>
      </w:tr>
      <w:tr>
        <w:tc>
          <w:tcPr/>
          <w:p>
            <w:pPr>
              <w:pStyle w:val="Compact"/>
              <w:jc w:val="left"/>
            </w:pPr>
            <w:r>
              <w:t xml:space="preserve">6</w:t>
            </w:r>
          </w:p>
        </w:tc>
        <w:tc>
          <w:tcPr/>
          <w:p>
            <w:pPr>
              <w:pStyle w:val="Compact"/>
              <w:jc w:val="left"/>
            </w:pPr>
            <w:r>
              <w:t xml:space="preserve">Does the item contain any information that may be classified or that came from an unauthorized disclosure? If so, has</w:t>
            </w:r>
            <w:r>
              <w:t xml:space="preserve"> </w:t>
            </w:r>
            <w:hyperlink r:id="rId21">
              <w:r>
                <w:rPr>
                  <w:rStyle w:val="Hyperlink"/>
                </w:rPr>
                <w:t xml:space="preserve">Form B4-2</w:t>
              </w:r>
            </w:hyperlink>
            <w:r>
              <w:t xml:space="preserve"> </w:t>
            </w:r>
            <w:r>
              <w:t xml:space="preserve">review occurred?</w:t>
            </w:r>
          </w:p>
        </w:tc>
        <w:tc>
          <w:tcPr/>
          <w:p>
            <w:pPr>
              <w:pStyle w:val="Compact"/>
            </w:pPr>
          </w:p>
        </w:tc>
        <w:tc>
          <w:tcPr/>
          <w:p>
            <w:pPr>
              <w:pStyle w:val="Compact"/>
            </w:pPr>
          </w:p>
        </w:tc>
      </w:tr>
      <w:tr>
        <w:tc>
          <w:tcPr/>
          <w:p>
            <w:pPr>
              <w:pStyle w:val="Compact"/>
              <w:jc w:val="left"/>
            </w:pPr>
            <w:r>
              <w:t xml:space="preserve">7</w:t>
            </w:r>
          </w:p>
        </w:tc>
        <w:tc>
          <w:tcPr/>
          <w:p>
            <w:pPr>
              <w:pStyle w:val="Compact"/>
              <w:jc w:val="left"/>
            </w:pPr>
            <w:r>
              <w:t xml:space="preserve">Are witnesses named only with written consent?</w:t>
            </w:r>
          </w:p>
        </w:tc>
        <w:tc>
          <w:tcPr/>
          <w:p>
            <w:pPr>
              <w:pStyle w:val="Compact"/>
            </w:pPr>
          </w:p>
        </w:tc>
        <w:tc>
          <w:tcPr/>
          <w:p>
            <w:pPr>
              <w:pStyle w:val="Compact"/>
            </w:pPr>
          </w:p>
        </w:tc>
      </w:tr>
      <w:tr>
        <w:tc>
          <w:tcPr/>
          <w:p>
            <w:pPr>
              <w:pStyle w:val="Compact"/>
              <w:jc w:val="left"/>
            </w:pPr>
            <w:r>
              <w:t xml:space="preserve">8</w:t>
            </w:r>
          </w:p>
        </w:tc>
        <w:tc>
          <w:tcPr/>
          <w:p>
            <w:pPr>
              <w:pStyle w:val="Compact"/>
              <w:jc w:val="left"/>
            </w:pPr>
            <w:r>
              <w:t xml:space="preserve">Does the headline match the body (no headline states as fact what the body reports as allegation)?</w:t>
            </w:r>
          </w:p>
        </w:tc>
        <w:tc>
          <w:tcPr/>
          <w:p>
            <w:pPr>
              <w:pStyle w:val="Compact"/>
            </w:pPr>
          </w:p>
        </w:tc>
        <w:tc>
          <w:tcPr/>
          <w:p>
            <w:pPr>
              <w:pStyle w:val="Compact"/>
            </w:pPr>
          </w:p>
        </w:tc>
      </w:tr>
      <w:tr>
        <w:tc>
          <w:tcPr/>
          <w:p>
            <w:pPr>
              <w:pStyle w:val="Compact"/>
              <w:jc w:val="left"/>
            </w:pPr>
            <w:r>
              <w:t xml:space="preserve">9</w:t>
            </w:r>
          </w:p>
        </w:tc>
        <w:tc>
          <w:tcPr/>
          <w:p>
            <w:pPr>
              <w:pStyle w:val="Compact"/>
              <w:jc w:val="left"/>
            </w:pPr>
            <w:r>
              <w:t xml:space="preserve">Are images, video, and documents properly sourced and, where needed, licensed?</w:t>
            </w:r>
          </w:p>
        </w:tc>
        <w:tc>
          <w:tcPr/>
          <w:p>
            <w:pPr>
              <w:pStyle w:val="Compact"/>
            </w:pPr>
          </w:p>
        </w:tc>
        <w:tc>
          <w:tcPr/>
          <w:p>
            <w:pPr>
              <w:pStyle w:val="Compact"/>
            </w:pPr>
          </w:p>
        </w:tc>
      </w:tr>
      <w:tr>
        <w:tc>
          <w:tcPr/>
          <w:p>
            <w:pPr>
              <w:pStyle w:val="Compact"/>
              <w:jc w:val="left"/>
            </w:pPr>
            <w:r>
              <w:t xml:space="preserve">10</w:t>
            </w:r>
          </w:p>
        </w:tc>
        <w:tc>
          <w:tcPr/>
          <w:p>
            <w:pPr>
              <w:pStyle w:val="Compact"/>
              <w:jc w:val="left"/>
            </w:pPr>
            <w:r>
              <w:t xml:space="preserve">Editor sign-off (name, date)</w:t>
            </w:r>
          </w:p>
        </w:tc>
        <w:tc>
          <w:tcPr/>
          <w:p>
            <w:pPr>
              <w:pStyle w:val="Compact"/>
            </w:pPr>
          </w:p>
        </w:tc>
        <w:tc>
          <w:tcPr/>
          <w:p>
            <w:pPr>
              <w:pStyle w:val="Compact"/>
            </w:pPr>
          </w:p>
        </w:tc>
      </w:tr>
    </w:tbl>
    <w:p>
      <w:pPr>
        <w:pStyle w:val="BodyText"/>
        <w:spacing w:lineRule="exact" w:line="40" w:before="0" w:after="0"/>
        <w:sectPr>
          <w:headerReference w:type="default" r:id="rId11"/>
          <w:footerReference w:type="default" r:id="rId12"/>
          <w:footerReference w:type="first" r:id="rId13"/>
          <w:pgSz w:h="15840" w:w="12240"/>
          <w:pgMar w:bottom="1440" w:left="1440" w:right="1440" w:top="1440" w:header="720" w:footer="576"/>
          <w:pgNumType w:start="1"/>
          <w:titlePg/>
        </w:sectPr>
      </w:pPr>
    </w:p>
    <w:bookmarkStart w:id="23" w:name="drafting-notes"/>
    <w:p>
      <w:pPr>
        <w:pStyle w:val="Heading2"/>
      </w:pPr>
      <w:r>
        <w:t xml:space="preserve">Drafting notes</w:t>
      </w:r>
    </w:p>
    <w:p>
      <w:pPr>
        <w:pStyle w:val="Compact"/>
        <w:numPr>
          <w:ilvl w:val="0"/>
          <w:numId w:val="1001"/>
        </w:numPr>
      </w:pPr>
      <w:r>
        <w:rPr>
          <w:bCs/>
          <w:b/>
        </w:rPr>
        <w:t xml:space="preserve">Headlines.</w:t>
      </w:r>
      <w:r>
        <w:t xml:space="preserve"> </w:t>
      </w:r>
      <w:r>
        <w:t xml:space="preserve">Defamation claims often rest on a headline or social media summary that drops the</w:t>
      </w:r>
      <w:r>
        <w:t xml:space="preserve"> </w:t>
      </w:r>
      <w:r>
        <w:t xml:space="preserve">attribution in the body. Item 8 exists for that reason. Apply the same rule to posts promoting the item.</w:t>
      </w:r>
    </w:p>
    <w:p>
      <w:pPr>
        <w:pStyle w:val="Compact"/>
        <w:numPr>
          <w:ilvl w:val="0"/>
          <w:numId w:val="1001"/>
        </w:numPr>
      </w:pPr>
      <w:r>
        <w:rPr>
          <w:bCs/>
          <w:b/>
        </w:rPr>
        <w:t xml:space="preserve">Anti-SLAPP.</w:t>
      </w:r>
      <w:r>
        <w:t xml:space="preserve"> </w:t>
      </w:r>
      <w:r>
        <w:t xml:space="preserve">Following these standards does not prevent suit, but it supports an early motion to</w:t>
      </w:r>
      <w:r>
        <w:t xml:space="preserve"> </w:t>
      </w:r>
      <w:r>
        <w:t xml:space="preserve">strike under Cal. Code Civ. Proc. §425.16 by showing that the statements concern a public issue and</w:t>
      </w:r>
      <w:r>
        <w:t xml:space="preserve"> </w:t>
      </w:r>
      <w:r>
        <w:t xml:space="preserve">that the plaintiff cannot show a probability of prevailing.</w:t>
      </w:r>
    </w:p>
    <w:p>
      <w:pPr>
        <w:pStyle w:val="Compact"/>
        <w:numPr>
          <w:ilvl w:val="0"/>
          <w:numId w:val="1001"/>
        </w:numPr>
      </w:pPr>
      <w:r>
        <w:rPr>
          <w:bCs/>
          <w:b/>
        </w:rPr>
        <w:t xml:space="preserve">Out-of-state publishers.</w:t>
      </w:r>
      <w:r>
        <w:t xml:space="preserve"> </w:t>
      </w:r>
      <w:r>
        <w:t xml:space="preserve">The fair report privilege and anti-SLAPP protection vary by state.</w:t>
      </w:r>
      <w:r>
        <w:t xml:space="preserve"> </w:t>
      </w:r>
      <w:r>
        <w:t xml:space="preserve">Replace the California citations with the publisher’s state law.</w:t>
      </w:r>
    </w:p>
    <w:p>
      <w:pPr>
        <w:pStyle w:val="Compact"/>
        <w:numPr>
          <w:ilvl w:val="0"/>
          <w:numId w:val="1001"/>
        </w:numPr>
      </w:pPr>
      <w:r>
        <w:rPr>
          <w:bCs/>
          <w:b/>
        </w:rPr>
        <w:t xml:space="preserve">California statutes.</w:t>
      </w:r>
      <w:r>
        <w:t xml:space="preserve"> </w:t>
      </w:r>
      <w:r>
        <w:t xml:space="preserve">Section 47(d)(1)</w:t>
      </w:r>
      <w:r>
        <w:t xml:space="preserve"> </w:t>
      </w:r>
      <w:r>
        <w:t xml:space="preserve">privileges</w:t>
      </w:r>
      <w:r>
        <w:t xml:space="preserve"> </w:t>
      </w:r>
      <w:r>
        <w:t xml:space="preserve">“</w:t>
      </w:r>
      <w:r>
        <w:t xml:space="preserve">a fair and true report in, or a communication to, a public journal</w:t>
      </w:r>
      <w:r>
        <w:t xml:space="preserve">”</w:t>
      </w:r>
      <w:r>
        <w:t xml:space="preserve"> </w:t>
      </w:r>
      <w:r>
        <w:t xml:space="preserve">of a judicial,</w:t>
      </w:r>
      <w:r>
        <w:t xml:space="preserve"> </w:t>
      </w:r>
      <w:r>
        <w:t xml:space="preserve">legislative, or other public official proceeding, but §47(d)(2) withholds the privilege from a</w:t>
      </w:r>
      <w:r>
        <w:t xml:space="preserve"> </w:t>
      </w:r>
      <w:r>
        <w:t xml:space="preserve">communication that violates Rule 3.6 (trial publicity), breaches a court order, or violates a legal</w:t>
      </w:r>
      <w:r>
        <w:t xml:space="preserve"> </w:t>
      </w:r>
      <w:r>
        <w:t xml:space="preserve">confidentiality requirement; lawyer-editors and lawyer-commentators should apply Rule 3.6 to commentary on</w:t>
      </w:r>
      <w:r>
        <w:t xml:space="preserve"> </w:t>
      </w:r>
      <w:r>
        <w:t xml:space="preserve">their own pending cases. Section 48a’s correction-demand procedure applies to a</w:t>
      </w:r>
      <w:r>
        <w:t xml:space="preserve"> </w:t>
      </w:r>
      <w:r>
        <w:t xml:space="preserve">“</w:t>
      </w:r>
      <w:r>
        <w:t xml:space="preserve">daily or weekly news</w:t>
      </w:r>
      <w:r>
        <w:t xml:space="preserve"> </w:t>
      </w:r>
      <w:r>
        <w:t xml:space="preserve">publication,</w:t>
      </w:r>
      <w:r>
        <w:t xml:space="preserve">”</w:t>
      </w:r>
      <w:r>
        <w:t xml:space="preserve"> </w:t>
      </w:r>
      <w:r>
        <w:t xml:space="preserve">which includes an electronic publication that</w:t>
      </w:r>
      <w:r>
        <w:t xml:space="preserve"> </w:t>
      </w:r>
      <w:r>
        <w:t xml:space="preserve">“</w:t>
      </w:r>
      <w:r>
        <w:t xml:space="preserve">publishes at least once a week</w:t>
      </w:r>
      <w:r>
        <w:t xml:space="preserve">”</w:t>
      </w:r>
      <w:r>
        <w:t xml:space="preserve"> </w:t>
      </w:r>
      <w:r>
        <w:t xml:space="preserve">(§48a(d)(5)). Section 425.16(e)(1)-(4) defines protected activity to include statements made before,</w:t>
      </w:r>
      <w:r>
        <w:t xml:space="preserve"> </w:t>
      </w:r>
      <w:r>
        <w:t xml:space="preserve">or in connection with an issue under review by, a legislative, executive, or judicial body, and</w:t>
      </w:r>
      <w:r>
        <w:t xml:space="preserve"> </w:t>
      </w:r>
      <w:r>
        <w:t xml:space="preserve">statements in a public forum on an issue of public interest.</w:t>
      </w:r>
    </w:p>
    <w:p>
      <w:pPr>
        <w:pStyle w:val="Compact"/>
        <w:numPr>
          <w:ilvl w:val="0"/>
          <w:numId w:val="1001"/>
        </w:numPr>
      </w:pPr>
      <w:r>
        <w:t xml:space="preserve">Related:</w:t>
      </w:r>
      <w:r>
        <w:t xml:space="preserve"> </w:t>
      </w:r>
      <w:hyperlink r:id="rId20">
        <w:r>
          <w:rPr>
            <w:rStyle w:val="Hyperlink"/>
          </w:rPr>
          <w:t xml:space="preserve">Issue G1</w:t>
        </w:r>
      </w:hyperlink>
      <w:r>
        <w:t xml:space="preserve">, G2, B4; Forms B4-2, G1-2.</w:t>
      </w:r>
    </w:p>
    <w:bookmarkEnd w:id="23"/>
    <w:bookmarkEnd w:id="24"/>
    <w:sectPr>
      <w:headerReference w:type="default" r:id="rId14"/>
      <w:footerReference w:type="default" r:id="rId15"/>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b4-2.html" TargetMode="External"/><Relationship Id="rId22" Type="http://schemas.openxmlformats.org/officeDocument/2006/relationships/hyperlink" Target="https://nhilaw.com/forms/g1-2.html" TargetMode="External"/><Relationship Id="rId20" Type="http://schemas.openxmlformats.org/officeDocument/2006/relationships/hyperlink" Target="https://nhilaw.com/issues/g1.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b4-2.html" TargetMode="External"/><Relationship Id="rId22" Type="http://schemas.openxmlformats.org/officeDocument/2006/relationships/hyperlink" Target="https://nhilaw.com/forms/g1-2.html" TargetMode="External"/><Relationship Id="rId20" Type="http://schemas.openxmlformats.org/officeDocument/2006/relationships/hyperlink" Target="https://nhilaw.com/issues/g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G1-1. Editorial Standards and Pre-Publication Checklist for Content Naming Officials, Contractors, or Witnesses</dc:title>
  <dc:creator>nhilaw.com</dc:creator>
  <cp:keywords/>
  <dcterms:created xsi:type="dcterms:W3CDTF">2026-10-19T03:16:11Z</dcterms:created>
  <dcterms:modified xsi:type="dcterms:W3CDTF">2026-10-19T03:16:11Z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