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3" w:name="X091403cc2258ab24e43be6253f88cf02cd2a523"/>
    <w:p>
      <w:pPr>
        <w:pStyle w:val="Heading1"/>
      </w:pPr>
      <w:r>
        <w:t xml:space="preserve">Form G1-2. Response to a Retraction Demand or Threat of a Defamation Claim</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https://nhilaw.com/forms/g1-2.html</w:t>
      </w:r>
    </w:p>
    <w:p>
      <w:pPr>
        <w:pStyle w:val="BodyText"/>
        <w:spacing w:after="160" w:line="259" w:lineRule="auto"/>
      </w:pPr>
      <w:r>
        <w:rPr>
          <w:bCs/>
          <w:b/>
        </w:rPr>
        <w:t xml:space="preserve">Use.</w:t>
      </w:r>
      <w:r>
        <w:t xml:space="preserve"> </w:t>
      </w:r>
      <w:r>
        <w:t xml:space="preserve">A demand letter starts the clock on several issues: the publisher’s notice of the claimed</w:t>
      </w:r>
      <w:r>
        <w:t xml:space="preserve"> </w:t>
      </w:r>
      <w:r>
        <w:t xml:space="preserve">falsity (relevant to actual malice for later statements), possible statutory retraction procedures</w:t>
      </w:r>
      <w:r>
        <w:t xml:space="preserve"> </w:t>
      </w:r>
      <w:r>
        <w:t xml:space="preserve">(Cal. Civ. Code §48a), insurance notice, and preservation of evidence. The response should be calm and</w:t>
      </w:r>
      <w:r>
        <w:t xml:space="preserve"> </w:t>
      </w:r>
      <w:r>
        <w:t xml:space="preserve">precise. It should correct anything actually wrong, defend what is accurate by pointing to sources and</w:t>
      </w:r>
      <w:r>
        <w:t xml:space="preserve"> </w:t>
      </w:r>
      <w:r>
        <w:t xml:space="preserve">privileges, avoid admissions, and set out the protections that would apply if suit were filed,</w:t>
      </w:r>
      <w:r>
        <w:t xml:space="preserve"> </w:t>
      </w:r>
      <w:r>
        <w:t xml:space="preserve">including California’s anti-SLAPP statute. Choose Version A (correction made) or Version B (no</w:t>
      </w:r>
      <w:r>
        <w:t xml:space="preserve"> </w:t>
      </w:r>
      <w:r>
        <w:t xml:space="preserve">correction warranted), or combine them item by item.</w:t>
      </w:r>
    </w:p>
    <w:p>
      <w:pPr>
        <w:pStyle w:val="BodyText"/>
        <w:spacing w:after="160" w:line="259" w:lineRule="auto"/>
      </w:pPr>
      <w:r>
        <w:rPr>
          <w:bCs/>
          <w:b/>
        </w:rPr>
        <w:t xml:space="preserve">When to use.</w:t>
      </w:r>
      <w:r>
        <w:t xml:space="preserve"> </w:t>
      </w:r>
      <w:r>
        <w:t xml:space="preserve">A publisher responding to a retraction demand or threat of a defamation suit.</w:t>
      </w:r>
      <w:r>
        <w:t xml:space="preserve"> </w:t>
      </w:r>
      <w:r>
        <w:rPr>
          <w:bCs/>
          <w:b/>
        </w:rPr>
        <w:t xml:space="preserve">Not for:</w:t>
      </w:r>
      <w:r>
        <w:t xml:space="preserve"> </w:t>
      </w:r>
      <w:r>
        <w:t xml:space="preserve">Demands concerning user content only (see Section 230).</w:t>
      </w:r>
    </w:p>
    <w:p>
      <w:pPr>
        <w:pStyle w:val="BodyText"/>
        <w:spacing w:after="160" w:line="259" w:lineRule="auto"/>
      </w:pPr>
      <w:r>
        <w:rPr>
          <w:bCs/>
          <w:b/>
        </w:rPr>
        <w:t xml:space="preserve">Deadlines.</w:t>
      </w:r>
      <w:r>
        <w:t xml:space="preserve"> </w:t>
      </w:r>
      <w:r>
        <w:t xml:space="preserve">Notify the insurer at once. Under Cal. Civ. Code §48a a correction demanded within 20 days must be published within three weeks.</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[Date]</w:t>
      </w:r>
    </w:p>
    <w:p>
      <w:pPr>
        <w:pStyle w:val="BodyText"/>
      </w:pPr>
      <w:r>
        <w:t xml:space="preserve">VIA EMAIL AND [MAIL]</w:t>
      </w:r>
    </w:p>
    <w:p>
      <w:pPr>
        <w:pStyle w:val="BodyText"/>
      </w:pPr>
      <w:r>
        <w:t xml:space="preserve">[Name of counsel or complainant]</w:t>
      </w:r>
      <w:r>
        <w:br/>
      </w:r>
      <w:r>
        <w:t xml:space="preserve">[Address]</w:t>
      </w:r>
    </w:p>
    <w:p>
      <w:pPr>
        <w:pStyle w:val="BodyText"/>
      </w:pPr>
      <w:r>
        <w:rPr>
          <w:bCs/>
          <w:b/>
        </w:rPr>
        <w:t xml:space="preserve">Re: Your letter of [date] concerning [title of item], published [date] at [URL]</w:t>
      </w:r>
    </w:p>
    <w:p>
      <w:pPr>
        <w:pStyle w:val="BodyText"/>
      </w:pPr>
      <w:r>
        <w:t xml:space="preserve">Dear [Name]:</w:t>
      </w:r>
    </w:p>
    <w:p>
      <w:pPr>
        <w:pStyle w:val="BodyText"/>
      </w:pPr>
      <w:r>
        <w:t xml:space="preserve">We have received your letter of [date] on behalf of [complainant], which asks that we [retract /</w:t>
      </w:r>
      <w:r>
        <w:t xml:space="preserve"> </w:t>
      </w:r>
      <w:r>
        <w:t xml:space="preserve">correct / remove] [describe]. We take accuracy seriously, and we have reviewed the item and its</w:t>
      </w:r>
      <w:r>
        <w:t xml:space="preserve"> </w:t>
      </w:r>
      <w:r>
        <w:t xml:space="preserve">sources in light of your letter.</w:t>
      </w:r>
    </w:p>
    <w:p>
      <w:pPr>
        <w:pStyle w:val="BodyText"/>
      </w:pPr>
      <w:r>
        <w:rPr>
          <w:bCs/>
          <w:b/>
        </w:rPr>
        <w:t xml:space="preserve">[Version A: correction made]</w:t>
      </w:r>
    </w:p>
    <w:p>
      <w:pPr>
        <w:pStyle w:val="BodyText"/>
      </w:pPr>
      <w:r>
        <w:t xml:space="preserve">We have determined that the statement</w:t>
      </w:r>
      <w:r>
        <w:t xml:space="preserve"> </w:t>
      </w:r>
      <w:r>
        <w:t xml:space="preserve">“</w:t>
      </w:r>
      <w:r>
        <w:t xml:space="preserve">[quote]</w:t>
      </w:r>
      <w:r>
        <w:t xml:space="preserve">”</w:t>
      </w:r>
      <w:r>
        <w:t xml:space="preserve"> </w:t>
      </w:r>
      <w:r>
        <w:t xml:space="preserve">[was inaccurate / should be clarified] because</w:t>
      </w:r>
      <w:r>
        <w:t xml:space="preserve"> </w:t>
      </w:r>
      <w:r>
        <w:t xml:space="preserve">[reason]. On [date], we [corrected the statement to read</w:t>
      </w:r>
      <w:r>
        <w:t xml:space="preserve"> </w:t>
      </w:r>
      <w:r>
        <w:t xml:space="preserve">“</w:t>
      </w:r>
      <w:r>
        <w:t xml:space="preserve">[new text]</w:t>
      </w:r>
      <w:r>
        <w:t xml:space="preserve">”</w:t>
      </w:r>
      <w:r>
        <w:t xml:space="preserve"> </w:t>
      </w:r>
      <w:r>
        <w:t xml:space="preserve">/ added the following</w:t>
      </w:r>
      <w:r>
        <w:t xml:space="preserve"> </w:t>
      </w:r>
      <w:r>
        <w:t xml:space="preserve">clarification:</w:t>
      </w:r>
      <w:r>
        <w:t xml:space="preserve"> </w:t>
      </w:r>
      <w:r>
        <w:t xml:space="preserve">“</w:t>
      </w:r>
      <w:r>
        <w:t xml:space="preserve">[text]</w:t>
      </w:r>
      <w:r>
        <w:t xml:space="preserve">”</w:t>
      </w:r>
      <w:r>
        <w:t xml:space="preserve">] and noted the correction and its date at the end of the item. A copy of the</w:t>
      </w:r>
      <w:r>
        <w:t xml:space="preserve"> </w:t>
      </w:r>
      <w:r>
        <w:t xml:space="preserve">corrected item is enclosed. We believe the remainder of the item is accurate, for the reasons given</w:t>
      </w:r>
      <w:r>
        <w:t xml:space="preserve"> </w:t>
      </w:r>
      <w:r>
        <w:t xml:space="preserve">below.</w:t>
      </w:r>
    </w:p>
    <w:p>
      <w:pPr>
        <w:pStyle w:val="BodyText"/>
      </w:pPr>
      <w:r>
        <w:rPr>
          <w:bCs/>
          <w:b/>
        </w:rPr>
        <w:t xml:space="preserve">[Version B: no correction warranted]</w:t>
      </w:r>
    </w:p>
    <w:p>
      <w:pPr>
        <w:pStyle w:val="BodyText"/>
      </w:pPr>
      <w:r>
        <w:t xml:space="preserve">We have concluded that the item is accurate and that no retraction is warranted, for the following</w:t>
      </w:r>
      <w:r>
        <w:t xml:space="preserve"> </w:t>
      </w:r>
      <w:r>
        <w:t xml:space="preserve">reasons:</w:t>
      </w:r>
    </w:p>
    <w:p>
      <w:pPr>
        <w:numPr>
          <w:ilvl w:val="0"/>
          <w:numId w:val="1001"/>
        </w:numPr>
      </w:pPr>
      <w:r>
        <w:rPr>
          <w:bCs/>
          <w:b/>
        </w:rPr>
        <w:t xml:space="preserve">The statements are fair and accurate reports of official proceedings.</w:t>
      </w:r>
      <w:r>
        <w:t xml:space="preserve"> </w:t>
      </w:r>
      <w:r>
        <w:t xml:space="preserve">The statements you</w:t>
      </w:r>
      <w:r>
        <w:t xml:space="preserve"> </w:t>
      </w:r>
      <w:r>
        <w:t xml:space="preserve">identify report [testimony given under oath before (committee) on (date) / allegations made in (case</w:t>
      </w:r>
      <w:r>
        <w:t xml:space="preserve"> </w:t>
      </w:r>
      <w:r>
        <w:t xml:space="preserve">caption and docket no.) / statements in (agency report)], with attribution to that source. A fair and</w:t>
      </w:r>
      <w:r>
        <w:t xml:space="preserve"> </w:t>
      </w:r>
      <w:r>
        <w:t xml:space="preserve">true report of a legislative, judicial, or other official proceeding is privileged under California</w:t>
      </w:r>
      <w:r>
        <w:t xml:space="preserve"> </w:t>
      </w:r>
      <w:r>
        <w:t xml:space="preserve">Civil Code §47(d), whether or not the underlying statements are true. [Quote the source and the item</w:t>
      </w:r>
      <w:r>
        <w:t xml:space="preserve"> </w:t>
      </w:r>
      <w:r>
        <w:t xml:space="preserve">side by side, or attach a comparison table.]</w:t>
      </w:r>
    </w:p>
    <w:p>
      <w:pPr>
        <w:numPr>
          <w:ilvl w:val="0"/>
          <w:numId w:val="1001"/>
        </w:numPr>
      </w:pPr>
      <w:r>
        <w:rPr>
          <w:bCs/>
          <w:b/>
        </w:rPr>
        <w:t xml:space="preserve">The statements concern a public figure and a public controversy.</w:t>
      </w:r>
      <w:r>
        <w:t xml:space="preserve"> </w:t>
      </w:r>
      <w:r>
        <w:t xml:space="preserve">[Complainant] [is a public</w:t>
      </w:r>
      <w:r>
        <w:t xml:space="preserve"> </w:t>
      </w:r>
      <w:r>
        <w:t xml:space="preserve">official / holds a senior position at a company that has publicly addressed UAP / has voluntarily</w:t>
      </w:r>
      <w:r>
        <w:t xml:space="preserve"> </w:t>
      </w:r>
      <w:r>
        <w:t xml:space="preserve">spoken publicly on this subject]. A public official or public figure must prove, with</w:t>
      </w:r>
      <w:r>
        <w:t xml:space="preserve"> </w:t>
      </w:r>
      <w:r>
        <w:t xml:space="preserve">“</w:t>
      </w:r>
      <w:r>
        <w:t xml:space="preserve">convincing clarity,</w:t>
      </w:r>
      <w:r>
        <w:t xml:space="preserve">”</w:t>
      </w:r>
      <w:r>
        <w:t xml:space="preserve"> </w:t>
      </w:r>
      <w:r>
        <w:t xml:space="preserve">that a defendant published a false statement with knowledge of its falsity or reckless disregard of</w:t>
      </w:r>
      <w:r>
        <w:t xml:space="preserve"> </w:t>
      </w:r>
      <w:r>
        <w:t xml:space="preserve">whether it was false.</w:t>
      </w:r>
      <w:r>
        <w:t xml:space="preserve"> </w:t>
      </w:r>
      <w:r>
        <w:rPr>
          <w:iCs/>
          <w:i/>
        </w:rPr>
        <w:t xml:space="preserve">New York Times Co. v. Sullivan</w:t>
      </w:r>
      <w:r>
        <w:t xml:space="preserve">, 376 U.S. 254, 279-80, 285-86 (1964). We relied on</w:t>
      </w:r>
      <w:r>
        <w:t xml:space="preserve"> </w:t>
      </w:r>
      <w:r>
        <w:t xml:space="preserve">[sources], and we had and have no reason to doubt the accuracy of our report of them.</w:t>
      </w:r>
    </w:p>
    <w:p>
      <w:pPr>
        <w:numPr>
          <w:ilvl w:val="0"/>
          <w:numId w:val="1001"/>
        </w:numPr>
      </w:pPr>
      <w:r>
        <w:rPr>
          <w:bCs/>
          <w:b/>
        </w:rPr>
        <w:t xml:space="preserve">Analysis and opinion.</w:t>
      </w:r>
      <w:r>
        <w:t xml:space="preserve"> </w:t>
      </w:r>
      <w:r>
        <w:t xml:space="preserve">The statement</w:t>
      </w:r>
      <w:r>
        <w:t xml:space="preserve"> </w:t>
      </w:r>
      <w:r>
        <w:t xml:space="preserve">“</w:t>
      </w:r>
      <w:r>
        <w:t xml:space="preserve">[quote]</w:t>
      </w:r>
      <w:r>
        <w:t xml:space="preserve">”</w:t>
      </w:r>
      <w:r>
        <w:t xml:space="preserve"> </w:t>
      </w:r>
      <w:r>
        <w:t xml:space="preserve">is our analysis, based on facts disclosed in the</w:t>
      </w:r>
      <w:r>
        <w:t xml:space="preserve"> </w:t>
      </w:r>
      <w:r>
        <w:t xml:space="preserve">item and in the cited sources, and is not a provably false assertion of fact.</w:t>
      </w:r>
      <w:r>
        <w:t xml:space="preserve"> </w:t>
      </w:r>
      <w:r>
        <w:rPr>
          <w:iCs/>
          <w:i/>
        </w:rPr>
        <w:t xml:space="preserve">Milkovich v. Lorain</w:t>
      </w:r>
      <w:r>
        <w:rPr>
          <w:iCs/>
          <w:i/>
        </w:rPr>
        <w:t xml:space="preserve"> </w:t>
      </w:r>
      <w:r>
        <w:rPr>
          <w:iCs/>
          <w:i/>
        </w:rPr>
        <w:t xml:space="preserve">Journal Co.</w:t>
      </w:r>
      <w:r>
        <w:t xml:space="preserve">, 497 U.S. 1, 18-21 (1990).</w:t>
      </w:r>
    </w:p>
    <w:p>
      <w:pPr>
        <w:numPr>
          <w:ilvl w:val="0"/>
          <w:numId w:val="1001"/>
        </w:numPr>
      </w:pPr>
      <w:r>
        <w:rPr>
          <w:bCs/>
          <w:b/>
        </w:rPr>
        <w:t xml:space="preserve">Your letter does not identify a false statement of fact.</w:t>
      </w:r>
      <w:r>
        <w:t xml:space="preserve"> </w:t>
      </w:r>
      <w:r>
        <w:t xml:space="preserve">[Explain why each specific complaint</w:t>
      </w:r>
      <w:r>
        <w:t xml:space="preserve"> </w:t>
      </w:r>
      <w:r>
        <w:t xml:space="preserve">concerns attribution, opinion, or an accurate report, or why the complainant’s own documents support</w:t>
      </w:r>
      <w:r>
        <w:t xml:space="preserve"> </w:t>
      </w:r>
      <w:r>
        <w:t xml:space="preserve">the item.]</w:t>
      </w:r>
    </w:p>
    <w:p>
      <w:pPr>
        <w:pStyle w:val="FirstParagraph"/>
      </w:pPr>
      <w:r>
        <w:rPr>
          <w:bCs/>
          <w:b/>
        </w:rPr>
        <w:t xml:space="preserve">Offer to include a response.</w:t>
      </w:r>
      <w:r>
        <w:t xml:space="preserve"> </w:t>
      </w:r>
      <w:r>
        <w:t xml:space="preserve">[Optional:] We will publish, as an addendum to the item, a statement</w:t>
      </w:r>
      <w:r>
        <w:t xml:space="preserve"> </w:t>
      </w:r>
      <w:r>
        <w:t xml:space="preserve">from [complainant] of up to [___] words responding to the allegations reported, if you provide it by</w:t>
      </w:r>
      <w:r>
        <w:t xml:space="preserve"> </w:t>
      </w:r>
      <w:r>
        <w:t xml:space="preserve">[date]. [Or: We have updated the item to note that (complainant) disputes the allegations, as stated in</w:t>
      </w:r>
      <w:r>
        <w:t xml:space="preserve"> </w:t>
      </w:r>
      <w:r>
        <w:t xml:space="preserve">your letter.]</w:t>
      </w:r>
    </w:p>
    <w:p>
      <w:pPr>
        <w:pStyle w:val="BodyText"/>
      </w:pPr>
      <w:r>
        <w:rPr>
          <w:bCs/>
          <w:b/>
        </w:rPr>
        <w:t xml:space="preserve">Further proceedings.</w:t>
      </w:r>
      <w:r>
        <w:t xml:space="preserve"> </w:t>
      </w:r>
      <w:r>
        <w:t xml:space="preserve">The item concerns an issue of public interest that Congress has addressed</w:t>
      </w:r>
      <w:r>
        <w:t xml:space="preserve"> </w:t>
      </w:r>
      <w:r>
        <w:t xml:space="preserve">through legislation and public hearings. Any suit based on it would be subject to a special motion to</w:t>
      </w:r>
      <w:r>
        <w:t xml:space="preserve"> </w:t>
      </w:r>
      <w:r>
        <w:t xml:space="preserve">strike under California Code of Civil Procedure §425.16, which provides for an award of attorney’s fees</w:t>
      </w:r>
      <w:r>
        <w:t xml:space="preserve"> </w:t>
      </w:r>
      <w:r>
        <w:t xml:space="preserve">and costs to a prevailing defendant (§425.16(c)(1)). We have preserved the item, its prior versions,</w:t>
      </w:r>
      <w:r>
        <w:t xml:space="preserve"> </w:t>
      </w:r>
      <w:r>
        <w:t xml:space="preserve">and our sources, and we ask that [complainant] preserve all documents relating to the matters</w:t>
      </w:r>
      <w:r>
        <w:t xml:space="preserve"> </w:t>
      </w:r>
      <w:r>
        <w:t xml:space="preserve">discussed in the item.</w:t>
      </w:r>
    </w:p>
    <w:p>
      <w:pPr>
        <w:pStyle w:val="BodyText"/>
      </w:pPr>
      <w:r>
        <w:t xml:space="preserve">Nothing in this letter waives any right, privilege, or defense, all of which are reserved.</w:t>
      </w:r>
    </w:p>
    <w:p>
      <w:pPr>
        <w:pStyle w:val="BodyText"/>
      </w:pPr>
      <w:r>
        <w:t xml:space="preserve">Sincerely,</w:t>
      </w:r>
    </w:p>
    <w:p>
      <w:pPr>
        <w:pStyle w:val="BodyText"/>
      </w:pPr>
      <w:r>
        <w:t xml:space="preserve">[Name, title]</w:t>
      </w:r>
      <w:r>
        <w:br/>
      </w:r>
      <w:r>
        <w:t xml:space="preserve">[Publisher]</w:t>
      </w:r>
    </w:p>
    <w:p>
      <w:pPr>
        <w:pStyle w:val="BodyText"/>
      </w:pPr>
      <w:r>
        <w:t xml:space="preserve">cc: [Counsel] [Insurer, if required]</w:t>
      </w:r>
    </w:p>
    <w:p>
      <w:pPr>
        <w:pStyle w:val="BodyText"/>
        <w:spacing w:lineRule="exact" w:line="40" w:before="0" w:after="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pPr>
    </w:p>
    <w:bookmarkStart w:id="22" w:name="drafting-notes"/>
    <w:p>
      <w:pPr>
        <w:pStyle w:val="Heading2"/>
      </w:pPr>
      <w:r>
        <w:t xml:space="preserve">Drafting notes</w:t>
      </w:r>
    </w:p>
    <w:p>
      <w:pPr>
        <w:pStyle w:val="Compact"/>
        <w:numPr>
          <w:ilvl w:val="0"/>
          <w:numId w:val="1002"/>
        </w:numPr>
      </w:pPr>
      <w:r>
        <w:rPr>
          <w:bCs/>
          <w:b/>
        </w:rPr>
        <w:t xml:space="preserve">Do not admit falsity unnecessarily.</w:t>
      </w:r>
      <w:r>
        <w:t xml:space="preserve"> </w:t>
      </w:r>
      <w:r>
        <w:t xml:space="preserve">A correction should say what was wrong and what is right. It</w:t>
      </w:r>
      <w:r>
        <w:t xml:space="preserve"> </w:t>
      </w:r>
      <w:r>
        <w:t xml:space="preserve">should not concede fault, intent, or damage.</w:t>
      </w:r>
    </w:p>
    <w:p>
      <w:pPr>
        <w:pStyle w:val="Compact"/>
        <w:numPr>
          <w:ilvl w:val="0"/>
          <w:numId w:val="1002"/>
        </w:numPr>
      </w:pPr>
      <w:r>
        <w:rPr>
          <w:bCs/>
          <w:b/>
        </w:rPr>
        <w:t xml:space="preserve">Section 48a.</w:t>
      </w:r>
      <w:r>
        <w:t xml:space="preserve"> </w:t>
      </w:r>
      <w:r>
        <w:t xml:space="preserve">In an action for libel in a</w:t>
      </w:r>
      <w:r>
        <w:t xml:space="preserve"> </w:t>
      </w:r>
      <w:r>
        <w:t xml:space="preserve">“</w:t>
      </w:r>
      <w:r>
        <w:t xml:space="preserve">daily or weekly news publication,</w:t>
      </w:r>
      <w:r>
        <w:t xml:space="preserve">”</w:t>
      </w:r>
      <w:r>
        <w:t xml:space="preserve"> </w:t>
      </w:r>
      <w:r>
        <w:t xml:space="preserve">the plaintiff may</w:t>
      </w:r>
      <w:r>
        <w:t xml:space="preserve"> </w:t>
      </w:r>
      <w:r>
        <w:t xml:space="preserve">recover only special damages unless the plaintiff served a written correction demand within 20 days</w:t>
      </w:r>
      <w:r>
        <w:t xml:space="preserve"> </w:t>
      </w:r>
      <w:r>
        <w:t xml:space="preserve">after learning of the publication and the publisher did not publish a correction</w:t>
      </w:r>
      <w:r>
        <w:t xml:space="preserve"> </w:t>
      </w:r>
      <w:r>
        <w:t xml:space="preserve">“</w:t>
      </w:r>
      <w:r>
        <w:t xml:space="preserve">in substantially as</w:t>
      </w:r>
      <w:r>
        <w:t xml:space="preserve"> </w:t>
      </w:r>
      <w:r>
        <w:t xml:space="preserve">conspicuous a manner</w:t>
      </w:r>
      <w:r>
        <w:t xml:space="preserve">”</w:t>
      </w:r>
      <w:r>
        <w:t xml:space="preserve"> </w:t>
      </w:r>
      <w:r>
        <w:t xml:space="preserve">within three weeks. Cal. Civ. Code §48a(a)-(b). Since 2017 a</w:t>
      </w:r>
      <w:r>
        <w:t xml:space="preserve"> </w:t>
      </w:r>
      <w:r>
        <w:t xml:space="preserve">“</w:t>
      </w:r>
      <w:r>
        <w:t xml:space="preserve">daily or weekly</w:t>
      </w:r>
      <w:r>
        <w:t xml:space="preserve"> </w:t>
      </w:r>
      <w:r>
        <w:t xml:space="preserve">news publication</w:t>
      </w:r>
      <w:r>
        <w:t xml:space="preserve">”</w:t>
      </w:r>
      <w:r>
        <w:t xml:space="preserve"> </w:t>
      </w:r>
      <w:r>
        <w:t xml:space="preserve">includes one</w:t>
      </w:r>
      <w:r>
        <w:t xml:space="preserve"> </w:t>
      </w:r>
      <w:r>
        <w:t xml:space="preserve">“</w:t>
      </w:r>
      <w:r>
        <w:t xml:space="preserve">in print or electronic form, that contains news on matters of public</w:t>
      </w:r>
      <w:r>
        <w:t xml:space="preserve"> </w:t>
      </w:r>
      <w:r>
        <w:t xml:space="preserve">concern and that publishes at least once a week</w:t>
      </w:r>
      <w:r>
        <w:t xml:space="preserve">”</w:t>
      </w:r>
      <w:r>
        <w:t xml:space="preserve"> </w:t>
      </w:r>
      <w:r>
        <w:t xml:space="preserve">(§48a(d)(5)), so a site or newsletter that publishes</w:t>
      </w:r>
      <w:r>
        <w:t xml:space="preserve"> </w:t>
      </w:r>
      <w:r>
        <w:t xml:space="preserve">weekly may qualify. If the demand arrived within 20 days of publication and a correction is warranted,</w:t>
      </w:r>
      <w:r>
        <w:t xml:space="preserve"> </w:t>
      </w:r>
      <w:r>
        <w:t xml:space="preserve">publish it prominently within three weeks.</w:t>
      </w:r>
    </w:p>
    <w:p>
      <w:pPr>
        <w:pStyle w:val="Compact"/>
        <w:numPr>
          <w:ilvl w:val="0"/>
          <w:numId w:val="1002"/>
        </w:numPr>
      </w:pPr>
      <w:r>
        <w:rPr>
          <w:bCs/>
          <w:b/>
        </w:rPr>
        <w:t xml:space="preserve">Actual malice and later statements.</w:t>
      </w:r>
      <w:r>
        <w:t xml:space="preserve"> </w:t>
      </w:r>
      <w:r>
        <w:t xml:space="preserve">After receiving a demand that identifies a specific error</w:t>
      </w:r>
      <w:r>
        <w:t xml:space="preserve"> </w:t>
      </w:r>
      <w:r>
        <w:t xml:space="preserve">with evidence, republishing the statement without checking can support a finding of reckless</w:t>
      </w:r>
      <w:r>
        <w:t xml:space="preserve"> </w:t>
      </w:r>
      <w:r>
        <w:t xml:space="preserve">disregard for the republication. Review and decide promptly.</w:t>
      </w:r>
    </w:p>
    <w:p>
      <w:pPr>
        <w:pStyle w:val="Compact"/>
        <w:numPr>
          <w:ilvl w:val="0"/>
          <w:numId w:val="1002"/>
        </w:numPr>
      </w:pPr>
      <w:r>
        <w:rPr>
          <w:bCs/>
          <w:b/>
        </w:rPr>
        <w:t xml:space="preserve">Comparison table.</w:t>
      </w:r>
      <w:r>
        <w:t xml:space="preserve"> </w:t>
      </w:r>
      <w:r>
        <w:t xml:space="preserve">Showing the source text next to the published text is the most persuasive</w:t>
      </w:r>
      <w:r>
        <w:t xml:space="preserve"> </w:t>
      </w:r>
      <w:r>
        <w:t xml:space="preserve">answer to a fair-report challenge.</w:t>
      </w:r>
    </w:p>
    <w:p>
      <w:pPr>
        <w:pStyle w:val="Compact"/>
        <w:numPr>
          <w:ilvl w:val="0"/>
          <w:numId w:val="1002"/>
        </w:numPr>
      </w:pPr>
      <w:r>
        <w:rPr>
          <w:bCs/>
          <w:b/>
        </w:rPr>
        <w:t xml:space="preserve">Insurance notice.</w:t>
      </w:r>
      <w:r>
        <w:t xml:space="preserve"> </w:t>
      </w:r>
      <w:r>
        <w:t xml:space="preserve">Media liability policies usually require notice of a</w:t>
      </w:r>
      <w:r>
        <w:t xml:space="preserve"> </w:t>
      </w:r>
      <w:r>
        <w:t xml:space="preserve">“</w:t>
      </w:r>
      <w:r>
        <w:t xml:space="preserve">claim</w:t>
      </w:r>
      <w:r>
        <w:t xml:space="preserve">”</w:t>
      </w:r>
      <w:r>
        <w:t xml:space="preserve"> </w:t>
      </w:r>
      <w:r>
        <w:t xml:space="preserve">as soon as practicable, and</w:t>
      </w:r>
      <w:r>
        <w:t xml:space="preserve"> </w:t>
      </w:r>
      <w:r>
        <w:t xml:space="preserve">many define a claim to include a written demand for retraction or correction, not only a lawsuit. Many also</w:t>
      </w:r>
      <w:r>
        <w:t xml:space="preserve"> </w:t>
      </w:r>
      <w:r>
        <w:t xml:space="preserve">require the insurer’s consent before the insured admits liability or publishes a correction that concedes</w:t>
      </w:r>
      <w:r>
        <w:t xml:space="preserve"> </w:t>
      </w:r>
      <w:r>
        <w:t xml:space="preserve">fault, and claims-made policies require notice within the policy period or a short extended reporting period.</w:t>
      </w:r>
      <w:r>
        <w:t xml:space="preserve"> </w:t>
      </w:r>
      <w:r>
        <w:t xml:space="preserve">Send the demand to the insurer the day it arrives, before responding, and keep proof of the notice.</w:t>
      </w:r>
    </w:p>
    <w:p>
      <w:pPr>
        <w:pStyle w:val="Compact"/>
        <w:numPr>
          <w:ilvl w:val="0"/>
          <w:numId w:val="1002"/>
        </w:numPr>
      </w:pPr>
      <w:r>
        <w:rPr>
          <w:bCs/>
          <w:b/>
        </w:rPr>
        <w:t xml:space="preserve">Pin cites</w:t>
      </w:r>
      <w:r>
        <w:t xml:space="preserve">:</w:t>
      </w:r>
      <w:r>
        <w:t xml:space="preserve"> </w:t>
      </w:r>
      <w:r>
        <w:rPr>
          <w:iCs/>
          <w:i/>
        </w:rPr>
        <w:t xml:space="preserve">Sullivan</w:t>
      </w:r>
      <w:r>
        <w:t xml:space="preserve"> </w:t>
      </w:r>
      <w:r>
        <w:t xml:space="preserve">at 279-80, 285-86;</w:t>
      </w:r>
      <w:r>
        <w:t xml:space="preserve"> </w:t>
      </w:r>
      <w:r>
        <w:rPr>
          <w:iCs/>
          <w:i/>
        </w:rPr>
        <w:t xml:space="preserve">Milkovich</w:t>
      </w:r>
      <w:r>
        <w:t xml:space="preserve"> </w:t>
      </w:r>
      <w:r>
        <w:t xml:space="preserve">at 18-21.</w:t>
      </w:r>
    </w:p>
    <w:p>
      <w:pPr>
        <w:pStyle w:val="Compact"/>
        <w:numPr>
          <w:ilvl w:val="0"/>
          <w:numId w:val="1002"/>
        </w:numPr>
      </w:pPr>
      <w:r>
        <w:rPr>
          <w:bCs/>
          <w:b/>
        </w:rPr>
        <w:t xml:space="preserve">Federal court.</w:t>
      </w:r>
      <w:r>
        <w:t xml:space="preserve"> </w:t>
      </w:r>
      <w:r>
        <w:t xml:space="preserve">In the Ninth Circuit the special motion to strike applies in federal court (*CoreCivic, Inc.</w:t>
      </w:r>
    </w:p>
    <w:p>
      <w:pPr>
        <w:pStyle w:val="Compact"/>
        <w:numPr>
          <w:ilvl w:val="0"/>
          <w:numId w:val="1000"/>
        </w:numPr>
      </w:pPr>
      <w:r>
        <w:t xml:space="preserve">v. Candide Group, LLC</w:t>
      </w:r>
      <w:r>
        <w:rPr>
          <w:iCs/>
          <w:i/>
        </w:rPr>
        <w:t xml:space="preserve">, 46 F.4th 1136 (9th Cir. 2022)), but a denial is no longer immediately appealable</w:t>
      </w:r>
      <w:r>
        <w:rPr>
          <w:iCs/>
          <w:i/>
        </w:rPr>
        <w:t xml:space="preserve"> </w:t>
      </w:r>
      <w:r>
        <w:rPr>
          <w:iCs/>
          <w:i/>
        </w:rPr>
        <w:t xml:space="preserve">(</w:t>
      </w:r>
      <w:r>
        <w:t xml:space="preserve">Gopher Media LLC v. Melone*, 154 F.4th 696 (9th Cir. 2025) (en banc), cert. denied, 146 S. Ct. 2726 (2026)). The fee-shifting warning in the</w:t>
      </w:r>
      <w:r>
        <w:t xml:space="preserve"> </w:t>
      </w:r>
      <w:r>
        <w:t xml:space="preserve">letter holds in either forum.</w:t>
      </w:r>
    </w:p>
    <w:p>
      <w:pPr>
        <w:pStyle w:val="Compact"/>
        <w:numPr>
          <w:ilvl w:val="0"/>
          <w:numId w:val="1002"/>
        </w:numPr>
      </w:pPr>
      <w:r>
        <w:rPr>
          <w:bCs/>
          <w:b/>
        </w:rPr>
        <w:t xml:space="preserve">Lawyer-publishers.</w:t>
      </w:r>
      <w:r>
        <w:t xml:space="preserve"> </w:t>
      </w:r>
      <w:r>
        <w:t xml:space="preserve">The fair report privilege does not cover a communication to a public journal</w:t>
      </w:r>
      <w:r>
        <w:t xml:space="preserve"> </w:t>
      </w:r>
      <w:r>
        <w:t xml:space="preserve">that violates Rule 3.6 of the Rules of Professional Conduct (trial publicity), breaches a court order,</w:t>
      </w:r>
      <w:r>
        <w:t xml:space="preserve"> </w:t>
      </w:r>
      <w:r>
        <w:t xml:space="preserve">or violates a legal confidentiality requirement. Cal. Civ. Code §47(d)(2). A lawyer who comments on</w:t>
      </w:r>
      <w:r>
        <w:t xml:space="preserve"> </w:t>
      </w:r>
      <w:r>
        <w:t xml:space="preserve">a pending case the lawyer is handling should check Rule 3.6 first.</w:t>
      </w:r>
    </w:p>
    <w:p>
      <w:pPr>
        <w:pStyle w:val="Compact"/>
        <w:numPr>
          <w:ilvl w:val="0"/>
          <w:numId w:val="1002"/>
        </w:numPr>
      </w:pPr>
      <w:r>
        <w:t xml:space="preserve">Related:</w:t>
      </w:r>
      <w:r>
        <w:t xml:space="preserve"> </w:t>
      </w:r>
      <w:hyperlink r:id="rId20">
        <w:r>
          <w:rPr>
            <w:rStyle w:val="Hyperlink"/>
          </w:rPr>
          <w:t xml:space="preserve">Issue G1</w:t>
        </w:r>
      </w:hyperlink>
      <w:r>
        <w:t xml:space="preserve">;</w:t>
      </w:r>
      <w:r>
        <w:t xml:space="preserve"> </w:t>
      </w:r>
      <w:hyperlink r:id="rId21">
        <w:r>
          <w:rPr>
            <w:rStyle w:val="Hyperlink"/>
          </w:rPr>
          <w:t xml:space="preserve">Form G1-1</w:t>
        </w:r>
      </w:hyperlink>
      <w:r>
        <w:t xml:space="preserve">.</w:t>
      </w:r>
    </w:p>
    <w:bookmarkEnd w:id="22"/>
    <w:bookmarkEnd w:id="23"/>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hyperlink" Target="https://nhilaw.com/forms/g1-1.html" TargetMode="External"/><Relationship Id="rId20" Type="http://schemas.openxmlformats.org/officeDocument/2006/relationships/hyperlink" Target="https://nhilaw.com/issues/g1.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1" Type="http://schemas.openxmlformats.org/officeDocument/2006/relationships/hyperlink" Target="https://nhilaw.com/forms/g1-1.html" TargetMode="External"/><Relationship Id="rId20" Type="http://schemas.openxmlformats.org/officeDocument/2006/relationships/hyperlink" Target="https://nhilaw.com/issues/g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G1-2. Response to a Retraction Demand or Threat of a Defamation Claim</dc:title>
  <dc:creator>nhilaw.com</dc:creator>
  <cp:keywords/>
  <dcterms:created xsi:type="dcterms:W3CDTF">2026-10-19T03:16:14Z</dcterms:created>
  <dcterms:modified xsi:type="dcterms:W3CDTF">2026-10-19T03:16:14Z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