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Publishing UAP Allegations: Defamation and Privilege for Journalists, Researchers, and Lawyer-Commentators</w:t>
      </w:r>
    </w:p>
    <w:p>
      <w:pPr>
        <w:pStyle w:val="Subtitle"/>
      </w:pPr>
      <w:r>
        <w:t xml:space="preserve">Version 1.10 · October 2026 · nhilaw.com/issues/g1.html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Public officials and public figures must prove actual malice (</w:t>
      </w:r>
      <w:r>
        <w:rPr>
          <w:iCs/>
          <w:i/>
        </w:rPr>
        <w:t xml:space="preserve">New York Times v. Sullivan</w:t>
      </w:r>
      <w:r>
        <w:t xml:space="preserve">); private individuals need show less, so name them only with strong documentary support.</w:t>
      </w:r>
    </w:p>
    <w:p>
      <w:pPr>
        <w:pStyle w:val="Compact"/>
        <w:numPr>
          <w:ilvl w:val="0"/>
          <w:numId w:val="1001"/>
        </w:numPr>
      </w:pPr>
      <w:r>
        <w:t xml:space="preserve">California’s fair report privilege (Civ. Code §47(d)) absolutely protects fair and true reports of official proceedings, including complaints and hearings, and reaches websites that publish regularly (</w:t>
      </w:r>
      <w:r>
        <w:rPr>
          <w:iCs/>
          <w:i/>
        </w:rPr>
        <w:t xml:space="preserve">Carver</w:t>
      </w:r>
      <w:r>
        <w:t xml:space="preserve">;</w:t>
      </w:r>
      <w:r>
        <w:t xml:space="preserve"> </w:t>
      </w:r>
      <w:r>
        <w:rPr>
          <w:iCs/>
          <w:i/>
        </w:rPr>
        <w:t xml:space="preserve">Jones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The privilege does not reach books, interviews, or documentaries; repeat those allegations as attributed claims and keep them institutional.</w:t>
      </w:r>
    </w:p>
    <w:p>
      <w:pPr>
        <w:pStyle w:val="Compact"/>
        <w:numPr>
          <w:ilvl w:val="0"/>
          <w:numId w:val="1001"/>
        </w:numPr>
      </w:pPr>
      <w:r>
        <w:t xml:space="preserve">Section 230 protects against liability for users’ content but not against federal criminal law or IP claims; register a DMCA agent and remove classified material users post.</w:t>
      </w:r>
    </w:p>
    <w:p>
      <w:pPr>
        <w:pStyle w:val="Compact"/>
        <w:numPr>
          <w:ilvl w:val="0"/>
          <w:numId w:val="1001"/>
        </w:numPr>
      </w:pPr>
      <w:r>
        <w:t xml:space="preserve">California’s anti-SLAPP statute applies in federal court in the Ninth Circuit (</w:t>
      </w:r>
      <w:r>
        <w:rPr>
          <w:iCs/>
          <w:i/>
        </w:rPr>
        <w:t xml:space="preserve">CoreCivic</w:t>
      </w:r>
      <w:r>
        <w:t xml:space="preserve">), and the one-year limitations period and §48a correction rules shape the response to any demand (</w:t>
      </w:r>
      <w:hyperlink r:id="rId21">
        <w:r>
          <w:rPr>
            <w:rStyle w:val="Hyperlink"/>
          </w:rPr>
          <w:t xml:space="preserve">Form G1-2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22"/>
    <w:bookmarkStart w:id="23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Anyone who publishes on this subject will repeat allegations that named officials, agencies, and contractors</w:t>
      </w:r>
      <w:r>
        <w:t xml:space="preserve"> </w:t>
      </w:r>
      <w:r>
        <w:t xml:space="preserve">concealed programs, misled Congress, retaliated against witnesses, and harmed people. This site is one example. Agencies cannot sue for defamation, but individuals</w:t>
      </w:r>
      <w:r>
        <w:t xml:space="preserve"> </w:t>
      </w:r>
      <w:r>
        <w:t xml:space="preserve">and corporations can. The main protections are: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Actual malice for public officials and public figures.</w:t>
      </w:r>
      <w:r>
        <w:t xml:space="preserve"> </w:t>
      </w:r>
      <w:r>
        <w:rPr>
          <w:iCs/>
          <w:i/>
        </w:rPr>
        <w:t xml:space="preserve">New York Times Co. v. Sullivan</w:t>
      </w:r>
      <w:r>
        <w:t xml:space="preserve">, 376 U.S. 254 (1964);</w:t>
      </w:r>
      <w:r>
        <w:t xml:space="preserve"> </w:t>
      </w:r>
      <w:r>
        <w:rPr>
          <w:iCs/>
          <w:i/>
        </w:rPr>
        <w:t xml:space="preserve">Curtis Publishing Co. v. Butts</w:t>
      </w:r>
      <w:r>
        <w:t xml:space="preserve">, 388 U.S. 130 (1967). Senior officials and prominent contractors will be public</w:t>
      </w:r>
      <w:r>
        <w:t xml:space="preserve"> </w:t>
      </w:r>
      <w:r>
        <w:t xml:space="preserve">figures for UAP-related statements; liability requires knowledge of falsity or reckless disregard.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Fair report privilege.</w:t>
      </w:r>
      <w:r>
        <w:t xml:space="preserve"> </w:t>
      </w:r>
      <w:r>
        <w:t xml:space="preserve">Accurate and fair reports of official proceedings and records (congressional</w:t>
      </w:r>
      <w:r>
        <w:t xml:space="preserve"> </w:t>
      </w:r>
      <w:r>
        <w:t xml:space="preserve">testimony, court filings, agency reports) are privileged in most states even if the underlying statements are</w:t>
      </w:r>
      <w:r>
        <w:t xml:space="preserve"> </w:t>
      </w:r>
      <w:r>
        <w:t xml:space="preserve">false, provided the report is fair and attributed. Published congressional hearing transcripts are such sources.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Opinion.</w:t>
      </w:r>
      <w:r>
        <w:t xml:space="preserve"> </w:t>
      </w:r>
      <w:r>
        <w:t xml:space="preserve">Statements that cannot be proven true or false, or that are clearly opinion based on disclosed</w:t>
      </w:r>
      <w:r>
        <w:t xml:space="preserve"> </w:t>
      </w:r>
      <w:r>
        <w:t xml:space="preserve">facts, are protected (</w:t>
      </w:r>
      <w:r>
        <w:rPr>
          <w:iCs/>
          <w:i/>
        </w:rPr>
        <w:t xml:space="preserve">Milkovich v. Lorain Journal Co.</w:t>
      </w:r>
      <w:r>
        <w:t xml:space="preserve">, 497 U.S. 1 (1990) (no wholesale opinion exception, but</w:t>
      </w:r>
      <w:r>
        <w:t xml:space="preserve"> </w:t>
      </w:r>
      <w:r>
        <w:t xml:space="preserve">statements not provably false are protected)).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Neutral attribution.</w:t>
      </w:r>
      <w:r>
        <w:t xml:space="preserve"> </w:t>
      </w:r>
      <w:r>
        <w:t xml:space="preserve">Reporting what a witness said, with clear attribution, is safer than adopting it; but</w:t>
      </w:r>
      <w:r>
        <w:t xml:space="preserve"> </w:t>
      </w:r>
      <w:r>
        <w:t xml:space="preserve">republication of defamatory statements can be actionable unless a privilege applies.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Section 230</w:t>
      </w:r>
      <w:r>
        <w:t xml:space="preserve"> </w:t>
      </w:r>
      <w:r>
        <w:t xml:space="preserve">(47 U.S.C. §230) protects the site from liability for third-party content (comments, user</w:t>
      </w:r>
      <w:r>
        <w:t xml:space="preserve"> </w:t>
      </w:r>
      <w:r>
        <w:t xml:space="preserve">submissions), not for content the site creates or materially contributes to.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Anti-SLAPP statutes</w:t>
      </w:r>
      <w:r>
        <w:t xml:space="preserve"> </w:t>
      </w:r>
      <w:r>
        <w:t xml:space="preserve">in many states (for example, California Code Civ. Proc. §425.16; Texas Citizens</w:t>
      </w:r>
      <w:r>
        <w:t xml:space="preserve"> </w:t>
      </w:r>
      <w:r>
        <w:t xml:space="preserve">Participation Act) allow early dismissal and fee shifting; their application in federal court varies by circuit.</w:t>
      </w:r>
    </w:p>
    <w:bookmarkEnd w:id="23"/>
    <w:bookmarkStart w:id="26" w:name="Xed7e43899f6ac9fbac6d7acee32db44789852e6"/>
    <w:p>
      <w:pPr>
        <w:pStyle w:val="Heading2"/>
      </w:pPr>
      <w:r>
        <w:t xml:space="preserve">1A. California’s fair report privilege as applied to the site</w:t>
      </w:r>
    </w:p>
    <w:p>
      <w:pPr>
        <w:pStyle w:val="FirstParagraph"/>
      </w:pPr>
      <w:r>
        <w:t xml:space="preserve">Because California law governs the site (</w:t>
      </w:r>
      <w:hyperlink r:id="rId24">
        <w:r>
          <w:rPr>
            <w:rStyle w:val="Hyperlink"/>
          </w:rPr>
          <w:t xml:space="preserve">Issue G2</w:t>
        </w:r>
      </w:hyperlink>
      <w:r>
        <w:t xml:space="preserve">), Civil Code §47(d) is the privilege that matters most. It</w:t>
      </w:r>
      <w:r>
        <w:t xml:space="preserve"> </w:t>
      </w:r>
      <w:r>
        <w:t xml:space="preserve">protects</w:t>
      </w:r>
      <w:r>
        <w:t xml:space="preserve"> </w:t>
      </w:r>
      <w:r>
        <w:t xml:space="preserve">“</w:t>
      </w:r>
      <w:r>
        <w:t xml:space="preserve">a fair and true report in, or a communication to, a public journal</w:t>
      </w:r>
      <w:r>
        <w:t xml:space="preserve">”</w:t>
      </w:r>
      <w:r>
        <w:t xml:space="preserve"> </w:t>
      </w:r>
      <w:r>
        <w:t xml:space="preserve">of a judicial, legislative, or other</w:t>
      </w:r>
      <w:r>
        <w:t xml:space="preserve"> </w:t>
      </w:r>
      <w:r>
        <w:t xml:space="preserve">public official proceeding,</w:t>
      </w:r>
      <w:r>
        <w:t xml:space="preserve"> </w:t>
      </w:r>
      <w:r>
        <w:t xml:space="preserve">“</w:t>
      </w:r>
      <w:r>
        <w:t xml:space="preserve">or of anything said in the course thereof</w:t>
      </w:r>
      <w:r>
        <w:t xml:space="preserve">”</w:t>
      </w:r>
      <w:r>
        <w:t xml:space="preserve"> </w:t>
      </w:r>
      <w:r>
        <w:t xml:space="preserve">(§47(d)(1)), subject to the exclusions in</w:t>
      </w:r>
      <w:r>
        <w:t xml:space="preserve"> </w:t>
      </w:r>
      <w:r>
        <w:t xml:space="preserve">§47(d)(2) for communications that violate Rule 3.6, breach a court order, or violate a confidentiality</w:t>
      </w:r>
      <w:r>
        <w:t xml:space="preserve"> </w:t>
      </w:r>
      <w:r>
        <w:t xml:space="preserve">requirement. California cases decided since 2016 show how far it reaches: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Absolute, regardless of motive.</w:t>
      </w:r>
      <w:r>
        <w:t xml:space="preserve"> </w:t>
      </w:r>
      <w:r>
        <w:t xml:space="preserve">When the privilege applies, the reported statements are</w:t>
      </w:r>
      <w:r>
        <w:t xml:space="preserve"> </w:t>
      </w:r>
      <w:r>
        <w:t xml:space="preserve">“</w:t>
      </w:r>
      <w:r>
        <w:t xml:space="preserve">absolutely</w:t>
      </w:r>
      <w:r>
        <w:t xml:space="preserve"> </w:t>
      </w:r>
      <w:r>
        <w:t xml:space="preserve">privileged regardless of the defendants’ motive for reporting</w:t>
      </w:r>
      <w:r>
        <w:t xml:space="preserve">”</w:t>
      </w:r>
      <w:r>
        <w:t xml:space="preserve"> </w:t>
      </w:r>
      <w:r>
        <w:t xml:space="preserve">them.</w:t>
      </w:r>
      <w:r>
        <w:t xml:space="preserve"> </w:t>
      </w:r>
      <w:r>
        <w:rPr>
          <w:iCs/>
          <w:i/>
        </w:rPr>
        <w:t xml:space="preserve">Healthsmart Pacific, Inc. v. Kabateck</w:t>
      </w:r>
      <w:r>
        <w:t xml:space="preserve"> </w:t>
      </w:r>
      <w:r>
        <w:t xml:space="preserve">(2016) 7 Cal.App.5th 416, 431 (quoting</w:t>
      </w:r>
      <w:r>
        <w:t xml:space="preserve"> </w:t>
      </w:r>
      <w:r>
        <w:rPr>
          <w:iCs/>
          <w:i/>
        </w:rPr>
        <w:t xml:space="preserve">Hawran v. Hixson</w:t>
      </w:r>
      <w:r>
        <w:t xml:space="preserve"> </w:t>
      </w:r>
      <w:r>
        <w:t xml:space="preserve">(2012) 209 Cal.App.4th 256, 278).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Complaints and other filings.</w:t>
      </w:r>
      <w:r>
        <w:t xml:space="preserve"> </w:t>
      </w:r>
      <w:r>
        <w:t xml:space="preserve">“</w:t>
      </w:r>
      <w:r>
        <w:t xml:space="preserve">Judicial proceeding</w:t>
      </w:r>
      <w:r>
        <w:t xml:space="preserve">”</w:t>
      </w:r>
      <w:r>
        <w:t xml:space="preserve"> </w:t>
      </w:r>
      <w:r>
        <w:t xml:space="preserve">includes the filing of a complaint, and</w:t>
      </w:r>
      <w:r>
        <w:t xml:space="preserve"> </w:t>
      </w:r>
      <w:r>
        <w:t xml:space="preserve">“</w:t>
      </w:r>
      <w:r>
        <w:t xml:space="preserve">fair and true</w:t>
      </w:r>
      <w:r>
        <w:t xml:space="preserve"> </w:t>
      </w:r>
      <w:r>
        <w:t xml:space="preserve">communications to the news media about allegations in a complaint are covered by the privilege,</w:t>
      </w:r>
      <w:r>
        <w:t xml:space="preserve">”</w:t>
      </w:r>
      <w:r>
        <w:t xml:space="preserve"> </w:t>
      </w:r>
      <w:r>
        <w:t xml:space="preserve">without any</w:t>
      </w:r>
      <w:r>
        <w:t xml:space="preserve"> </w:t>
      </w:r>
      <w:r>
        <w:t xml:space="preserve">later judicial action.</w:t>
      </w:r>
      <w:r>
        <w:t xml:space="preserve"> </w:t>
      </w:r>
      <w:r>
        <w:rPr>
          <w:iCs/>
          <w:i/>
        </w:rPr>
        <w:t xml:space="preserve">Healthsmart</w:t>
      </w:r>
      <w:r>
        <w:t xml:space="preserve">, 7 Cal.App.5th at 432 (lawyers’ statements in a television report also posted</w:t>
      </w:r>
      <w:r>
        <w:t xml:space="preserve"> </w:t>
      </w:r>
      <w:r>
        <w:t xml:space="preserve">on the station’s website,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422);</w:t>
      </w:r>
      <w:r>
        <w:t xml:space="preserve"> </w:t>
      </w:r>
      <w:r>
        <w:rPr>
          <w:iCs/>
          <w:i/>
        </w:rPr>
        <w:t xml:space="preserve">Microsoft Corp. v. Yokohama Telecom Corp.</w:t>
      </w:r>
      <w:r>
        <w:t xml:space="preserve"> </w:t>
      </w:r>
      <w:r>
        <w:t xml:space="preserve">(C.D. Cal. 1998) 993 F.Supp. 782, 784</w:t>
      </w:r>
      <w:r>
        <w:t xml:space="preserve"> </w:t>
      </w:r>
      <w:r>
        <w:t xml:space="preserve">(press release about a complaint’s allegations). Reports on whistleblower complaints, FOIA suits, and</w:t>
      </w:r>
      <w:r>
        <w:t xml:space="preserve"> </w:t>
      </w:r>
      <w:r>
        <w:t xml:space="preserve">UAP-related civil actions fall within this rule if they track the pleadings.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Press releases by parties and counsel.</w:t>
      </w:r>
      <w:r>
        <w:t xml:space="preserve"> </w:t>
      </w:r>
      <w:r>
        <w:t xml:space="preserve">A statement to the press by a party’s representative about a</w:t>
      </w:r>
      <w:r>
        <w:t xml:space="preserve"> </w:t>
      </w:r>
      <w:r>
        <w:t xml:space="preserve">lawsuit was not protected by the litigation privilege of §47(b) but was protected by §47(d).</w:t>
      </w:r>
      <w:r>
        <w:t xml:space="preserve"> </w:t>
      </w:r>
      <w:r>
        <w:rPr>
          <w:iCs/>
          <w:i/>
        </w:rPr>
        <w:t xml:space="preserve">Argentieri v.</w:t>
      </w:r>
      <w:r>
        <w:rPr>
          <w:iCs/>
          <w:i/>
        </w:rPr>
        <w:t xml:space="preserve"> </w:t>
      </w:r>
      <w:r>
        <w:rPr>
          <w:iCs/>
          <w:i/>
        </w:rPr>
        <w:t xml:space="preserve">Zuckerberg</w:t>
      </w:r>
      <w:r>
        <w:t xml:space="preserve"> </w:t>
      </w:r>
      <w:r>
        <w:t xml:space="preserve">(2017) 8 Cal.App.5th 768, 782-787 (§47(b)), 789-794 (§47(d)). That distinction matters for lawyer-editors who comment on their own</w:t>
      </w:r>
      <w:r>
        <w:t xml:space="preserve"> </w:t>
      </w:r>
      <w:r>
        <w:t xml:space="preserve">cases: §47(b) will rarely cover the commentary, so it must qualify as a fair and true report under §47(d) and</w:t>
      </w:r>
      <w:r>
        <w:t xml:space="preserve"> </w:t>
      </w:r>
      <w:r>
        <w:t xml:space="preserve">must comply with Rule 3.6 to avoid the §47(d)(2) exclusion.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Who decides.</w:t>
      </w:r>
      <w:r>
        <w:t xml:space="preserve"> </w:t>
      </w:r>
      <w:r>
        <w:t xml:space="preserve">Whether a privileged occasion exists is for the court; whether the report is</w:t>
      </w:r>
      <w:r>
        <w:t xml:space="preserve"> </w:t>
      </w:r>
      <w:r>
        <w:t xml:space="preserve">“</w:t>
      </w:r>
      <w:r>
        <w:t xml:space="preserve">fair and true</w:t>
      </w:r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for the jury if reasonable minds could disagree about its effect on the average reader.</w:t>
      </w:r>
      <w:r>
        <w:t xml:space="preserve"> </w:t>
      </w:r>
      <w:r>
        <w:rPr>
          <w:iCs/>
          <w:i/>
        </w:rPr>
        <w:t xml:space="preserve">Healthsmart</w:t>
      </w:r>
      <w:r>
        <w:t xml:space="preserve">, 7</w:t>
      </w:r>
      <w:r>
        <w:t xml:space="preserve"> </w:t>
      </w:r>
      <w:r>
        <w:t xml:space="preserve">Cal.App.5th at 431 (quoting</w:t>
      </w:r>
      <w:r>
        <w:t xml:space="preserve"> </w:t>
      </w:r>
      <w:r>
        <w:rPr>
          <w:iCs/>
          <w:i/>
        </w:rPr>
        <w:t xml:space="preserve">J-M Manufacturing Co. v. Phillips &amp; Cohen LLP</w:t>
      </w:r>
      <w:r>
        <w:t xml:space="preserve"> </w:t>
      </w:r>
      <w:r>
        <w:t xml:space="preserve">(2016) 247 Cal.App.4th 87, 98). The</w:t>
      </w:r>
      <w:r>
        <w:t xml:space="preserve"> </w:t>
      </w:r>
      <w:r>
        <w:t xml:space="preserve">practical test is whether the site’s account would leave a reader with a materially different impression than</w:t>
      </w:r>
      <w:r>
        <w:t xml:space="preserve"> </w:t>
      </w:r>
      <w:r>
        <w:t xml:space="preserve">the underlying record, which is why</w:t>
      </w:r>
      <w:r>
        <w:t xml:space="preserve"> </w:t>
      </w:r>
      <w:hyperlink r:id="rId25">
        <w:r>
          <w:rPr>
            <w:rStyle w:val="Hyperlink"/>
          </w:rPr>
          <w:t xml:space="preserve">Form G1-1</w:t>
        </w:r>
      </w:hyperlink>
      <w:r>
        <w:t xml:space="preserve"> </w:t>
      </w:r>
      <w:r>
        <w:t xml:space="preserve">requires attribution and a source-to-text comparison.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Websites as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public journals.</w:t>
      </w:r>
      <w:r>
        <w:rPr>
          <w:bCs/>
          <w:b/>
        </w:rPr>
        <w:t xml:space="preserve">”</w:t>
      </w:r>
      <w:r>
        <w:t xml:space="preserve"> </w:t>
      </w:r>
      <w:r>
        <w:t xml:space="preserve">A newspaper’s website is a public journal under §47(d).</w:t>
      </w:r>
      <w:r>
        <w:t xml:space="preserve"> </w:t>
      </w:r>
      <w:r>
        <w:rPr>
          <w:iCs/>
          <w:i/>
        </w:rPr>
        <w:t xml:space="preserve">Carver v. Bonds</w:t>
      </w:r>
      <w:r>
        <w:t xml:space="preserve"> </w:t>
      </w:r>
      <w:r>
        <w:t xml:space="preserve">(2005) 135 Cal.App.4th 328, 351. Federal courts applying California law have gone further: an online-only outlet</w:t>
      </w:r>
      <w:r>
        <w:t xml:space="preserve"> </w:t>
      </w:r>
      <w:r>
        <w:t xml:space="preserve">that</w:t>
      </w:r>
      <w:r>
        <w:t xml:space="preserve"> </w:t>
      </w:r>
      <w:r>
        <w:t xml:space="preserve">“</w:t>
      </w:r>
      <w:r>
        <w:t xml:space="preserve">regularly publishes news articles</w:t>
      </w:r>
      <w:r>
        <w:t xml:space="preserve">”</w:t>
      </w:r>
      <w:r>
        <w:t xml:space="preserve"> </w:t>
      </w:r>
      <w:r>
        <w:t xml:space="preserve">qualifies, and so does a Patreon page where it reposted them.</w:t>
      </w:r>
      <w:r>
        <w:t xml:space="preserve"> </w:t>
      </w:r>
      <w:r>
        <w:rPr>
          <w:iCs/>
          <w:i/>
        </w:rPr>
        <w:t xml:space="preserve">Jones v.</w:t>
      </w:r>
      <w:r>
        <w:rPr>
          <w:iCs/>
          <w:i/>
        </w:rPr>
        <w:t xml:space="preserve"> </w:t>
      </w:r>
      <w:r>
        <w:rPr>
          <w:iCs/>
          <w:i/>
        </w:rPr>
        <w:t xml:space="preserve">Inner City Press, Inc.</w:t>
      </w:r>
      <w:r>
        <w:t xml:space="preserve">, No. 2:23-cv-09623, 2024 WL 4403746, at</w:t>
      </w:r>
      <w:r>
        <w:t xml:space="preserve"> </w:t>
      </w:r>
      <w:r>
        <w:rPr>
          <w:iCs/>
          <w:i/>
        </w:rPr>
        <w:t xml:space="preserve">3-4 (C.D. Cal. Aug. 7, 2024) (appeal filed, 9th Cir.</w:t>
      </w:r>
      <w:r>
        <w:rPr>
          <w:iCs/>
          <w:i/>
        </w:rPr>
        <w:t xml:space="preserve"> </w:t>
      </w:r>
      <w:r>
        <w:rPr>
          <w:iCs/>
          <w:i/>
        </w:rPr>
        <w:t xml:space="preserve">2025); see also</w:t>
      </w:r>
      <w:r>
        <w:rPr>
          <w:iCs/>
          <w:i/>
        </w:rPr>
        <w:t xml:space="preserve"> </w:t>
      </w:r>
      <w:r>
        <w:t xml:space="preserve">Heitkoetter v. Domm</w:t>
      </w:r>
      <w:r>
        <w:rPr>
          <w:iCs/>
          <w:i/>
        </w:rPr>
        <w:t xml:space="preserve">, No. 1:22-cv-00368, 2024 WL 325134, at</w:t>
      </w:r>
      <w:r>
        <w:rPr>
          <w:iCs/>
          <w:i/>
        </w:rPr>
        <w:t xml:space="preserve"> </w:t>
      </w:r>
      <w:r>
        <w:t xml:space="preserve">11 (E.D. Cal. Jan. 29, 2024)</w:t>
      </w:r>
      <w:r>
        <w:t xml:space="preserve"> </w:t>
      </w:r>
      <w:r>
        <w:t xml:space="preserve">(YouTube channel). No published California appellate decision has addressed a standalone legal-information site.</w:t>
      </w:r>
      <w:r>
        <w:t xml:space="preserve"> </w:t>
      </w:r>
      <w:r>
        <w:t xml:space="preserve">The site improves its position by publishing on a regular schedule, dating every report, and presenting reports of</w:t>
      </w:r>
      <w:r>
        <w:t xml:space="preserve"> </w:t>
      </w:r>
      <w:r>
        <w:t xml:space="preserve">proceedings as reporting, separate from its commentary.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Congressional hearings and agency reports.</w:t>
      </w:r>
      <w:r>
        <w:t xml:space="preserve"> </w:t>
      </w:r>
      <w:r>
        <w:t xml:space="preserve">Hearings are</w:t>
      </w:r>
      <w:r>
        <w:t xml:space="preserve"> </w:t>
      </w:r>
      <w:r>
        <w:t xml:space="preserve">“</w:t>
      </w:r>
      <w:r>
        <w:t xml:space="preserve">legislative … proceeding[s]</w:t>
      </w:r>
      <w:r>
        <w:t xml:space="preserve">”</w:t>
      </w:r>
      <w:r>
        <w:t xml:space="preserve"> </w:t>
      </w:r>
      <w:r>
        <w:t xml:space="preserve">within §47(d)(1).</w:t>
      </w:r>
      <w:r>
        <w:t xml:space="preserve"> </w:t>
      </w:r>
      <w:r>
        <w:t xml:space="preserve">Whether an AARO historical report or an agency FOIA release is an</w:t>
      </w:r>
      <w:r>
        <w:t xml:space="preserve"> </w:t>
      </w:r>
      <w:r>
        <w:t xml:space="preserve">“</w:t>
      </w:r>
      <w:r>
        <w:t xml:space="preserve">other public official proceeding</w:t>
      </w:r>
      <w:r>
        <w:t xml:space="preserve">”</w:t>
      </w:r>
      <w:r>
        <w:t xml:space="preserve"> </w:t>
      </w:r>
      <w:r>
        <w:t xml:space="preserve">has not been</w:t>
      </w:r>
      <w:r>
        <w:t xml:space="preserve"> </w:t>
      </w:r>
      <w:r>
        <w:t xml:space="preserve">addressed in a UAP case; treat official reports as covered only when they record an official act or finding, and</w:t>
      </w:r>
      <w:r>
        <w:t xml:space="preserve"> </w:t>
      </w:r>
      <w:r>
        <w:t xml:space="preserve">attribute them precisely.</w:t>
      </w:r>
    </w:p>
    <w:p>
      <w:pPr>
        <w:pStyle w:val="FirstParagraph"/>
      </w:pPr>
      <w:r>
        <w:rPr>
          <w:bCs/>
          <w:b/>
        </w:rPr>
        <w:t xml:space="preserve">Anti-SLAPP in federal court (Ninth Circuit).</w:t>
      </w:r>
      <w:r>
        <w:t xml:space="preserve"> </w:t>
      </w:r>
      <w:r>
        <w:t xml:space="preserve">If the site is sued in federal court in California (for example,</w:t>
      </w:r>
      <w:r>
        <w:t xml:space="preserve"> </w:t>
      </w:r>
      <w:r>
        <w:t xml:space="preserve">on diversity jurisdiction), the special motion to strike remains available:</w:t>
      </w:r>
      <w:r>
        <w:t xml:space="preserve"> </w:t>
      </w:r>
      <w:r>
        <w:t xml:space="preserve">“</w:t>
      </w:r>
      <w:r>
        <w:t xml:space="preserve">The special motion to strike provision</w:t>
      </w:r>
      <w:r>
        <w:t xml:space="preserve"> </w:t>
      </w:r>
      <w:r>
        <w:t xml:space="preserve">of California’s anti-SLAPP statute applies in federal court.</w:t>
      </w:r>
      <w:r>
        <w:t xml:space="preserve">”</w:t>
      </w:r>
      <w:r>
        <w:t xml:space="preserve"> </w:t>
      </w:r>
      <w:r>
        <w:rPr>
          <w:iCs/>
          <w:i/>
        </w:rPr>
        <w:t xml:space="preserve">CoreCivic, Inc. v. Candide Group, LLC</w:t>
      </w:r>
      <w:r>
        <w:t xml:space="preserve">, 46 F.4th</w:t>
      </w:r>
      <w:r>
        <w:t xml:space="preserve"> </w:t>
      </w:r>
      <w:r>
        <w:t xml:space="preserve">1136 (9th Cir. 2022) (defamation claim over Forbes.com articles; motion granted in part). The en banc court later</w:t>
      </w:r>
      <w:r>
        <w:t xml:space="preserve"> </w:t>
      </w:r>
      <w:r>
        <w:t xml:space="preserve">held that a district court’s denial of a California anti-SLAPP motion is not immediately appealable under the</w:t>
      </w:r>
      <w:r>
        <w:t xml:space="preserve"> </w:t>
      </w:r>
      <w:r>
        <w:t xml:space="preserve">collateral order doctrine, overruling</w:t>
      </w:r>
      <w:r>
        <w:t xml:space="preserve"> </w:t>
      </w:r>
      <w:r>
        <w:rPr>
          <w:iCs/>
          <w:i/>
        </w:rPr>
        <w:t xml:space="preserve">Batzel v. Smith</w:t>
      </w:r>
      <w:r>
        <w:t xml:space="preserve">, 333 F.3d 1018 (9th Cir. 2003), while expressly not</w:t>
      </w:r>
      <w:r>
        <w:t xml:space="preserve"> </w:t>
      </w:r>
      <w:r>
        <w:t xml:space="preserve">reconsidering the rule that the statute applies in federal court.</w:t>
      </w:r>
      <w:r>
        <w:t xml:space="preserve"> </w:t>
      </w:r>
      <w:r>
        <w:rPr>
          <w:iCs/>
          <w:i/>
        </w:rPr>
        <w:t xml:space="preserve">Gopher Media LLC v. Melone</w:t>
      </w:r>
      <w:r>
        <w:t xml:space="preserve">, 154 F.4th 696 (9th</w:t>
      </w:r>
      <w:r>
        <w:t xml:space="preserve"> </w:t>
      </w:r>
      <w:r>
        <w:t xml:space="preserve">Cir. 2025) (en banc), cert. denied, 146 S. Ct. 2726 (2026). A defendant who loses the motion in federal court must therefore litigate to final</w:t>
      </w:r>
      <w:r>
        <w:t xml:space="preserve"> </w:t>
      </w:r>
      <w:r>
        <w:t xml:space="preserve">judgment before appealing, which makes a strong record on the first motion more important.</w:t>
      </w:r>
    </w:p>
    <w:bookmarkEnd w:id="26"/>
    <w:bookmarkStart w:id="28" w:name="X4184d686ceb1890118252c7f1c83fb97af35c17"/>
    <w:p>
      <w:pPr>
        <w:pStyle w:val="Heading2"/>
      </w:pPr>
      <w:r>
        <w:t xml:space="preserve">1B. Books, interviews, and other unofficial sources</w:t>
      </w:r>
    </w:p>
    <w:p>
      <w:pPr>
        <w:pStyle w:val="FirstParagraph"/>
      </w:pPr>
      <w:r>
        <w:t xml:space="preserve">The fair report privilege protects reports of official proceedings and records. It does not protect repeating what a</w:t>
      </w:r>
      <w:r>
        <w:t xml:space="preserve"> </w:t>
      </w:r>
      <w:r>
        <w:t xml:space="preserve">book, a podcast guest, or a documentary says. A publisher who repeats a former official’s allegation that a named</w:t>
      </w:r>
      <w:r>
        <w:t xml:space="preserve"> </w:t>
      </w:r>
      <w:r>
        <w:t xml:space="preserve">company held recovered craft, or that a named official lied, adopts the risk of that allegation unless another</w:t>
      </w:r>
      <w:r>
        <w:t xml:space="preserve"> </w:t>
      </w:r>
      <w:r>
        <w:t xml:space="preserve">defense applies. The 2026 account by a former director of the Navy’s UAP Task Force (Jay Stratton,</w:t>
      </w:r>
      <w:r>
        <w:t xml:space="preserve"> </w:t>
      </w:r>
      <w:r>
        <w:rPr>
          <w:iCs/>
          <w:i/>
        </w:rPr>
        <w:t xml:space="preserve">Out of the</w:t>
      </w:r>
      <w:r>
        <w:rPr>
          <w:iCs/>
          <w:i/>
        </w:rPr>
        <w:t xml:space="preserve"> </w:t>
      </w:r>
      <w:r>
        <w:rPr>
          <w:iCs/>
          <w:i/>
        </w:rPr>
        <w:t xml:space="preserve">Shadows</w:t>
      </w:r>
      <w:r>
        <w:t xml:space="preserve">) is a current example: it names contractors and describes named officials as obstructing UAP work. Report</w:t>
      </w:r>
      <w:r>
        <w:t xml:space="preserve"> </w:t>
      </w:r>
      <w:r>
        <w:t xml:space="preserve">such accounts as what the author says, with the chapter cited, and keep the allegations about institutions where</w:t>
      </w:r>
      <w:r>
        <w:t xml:space="preserve"> </w:t>
      </w:r>
      <w:r>
        <w:t xml:space="preserve">possible. Where the account names a private individual or accuses a public figure of a crime, either corroborate it</w:t>
      </w:r>
      <w:r>
        <w:t xml:space="preserve"> </w:t>
      </w:r>
      <w:r>
        <w:t xml:space="preserve">from official sources or leave the name out. That is the rule this site follows. It also explains why the site</w:t>
      </w:r>
      <w:r>
        <w:t xml:space="preserve"> </w:t>
      </w:r>
      <w:r>
        <w:t xml:space="preserve">states its premise about AARO in institutional terms and does not accuse individual officials (</w:t>
      </w:r>
      <w:hyperlink r:id="rId27">
        <w:r>
          <w:rPr>
            <w:rStyle w:val="Hyperlink"/>
          </w:rPr>
          <w:t xml:space="preserve">Issue F4</w:t>
        </w:r>
      </w:hyperlink>
      <w:r>
        <w:t xml:space="preserve">).</w:t>
      </w:r>
    </w:p>
    <w:bookmarkEnd w:id="28"/>
    <w:bookmarkStart w:id="32" w:name="Xde4b673bb8ffb4900a8004b65aa2f98c0b29199"/>
    <w:p>
      <w:pPr>
        <w:pStyle w:val="Heading2"/>
      </w:pPr>
      <w:r>
        <w:t xml:space="preserve">1C. Platform rules for a site with a community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User content and Section 230.</w:t>
      </w:r>
      <w:r>
        <w:t xml:space="preserve"> </w:t>
      </w:r>
      <w:r>
        <w:t xml:space="preserve">47 U.S.C. §230 protects a site from liability as the publisher of content</w:t>
      </w:r>
      <w:r>
        <w:t xml:space="preserve"> </w:t>
      </w:r>
      <w:r>
        <w:t xml:space="preserve">provided by users. It does not apply to federal criminal law or to intellectual property claims (§230(e)(1)-(2)),</w:t>
      </w:r>
      <w:r>
        <w:t xml:space="preserve"> </w:t>
      </w:r>
      <w:r>
        <w:t xml:space="preserve">and it does not protect content the site creates or materially develops.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Copyright.</w:t>
      </w:r>
      <w:r>
        <w:t xml:space="preserve"> </w:t>
      </w:r>
      <w:r>
        <w:t xml:space="preserve">A site that hosts user uploads should register a designated agent with the Copyright Office and</w:t>
      </w:r>
      <w:r>
        <w:t xml:space="preserve"> </w:t>
      </w:r>
      <w:r>
        <w:t xml:space="preserve">follow the notice-and-takedown procedure to keep the safe harbor for infringing material posted by users (17</w:t>
      </w:r>
      <w:r>
        <w:t xml:space="preserve"> </w:t>
      </w:r>
      <w:r>
        <w:t xml:space="preserve">U.S.C. §512(c)).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Classified or controlled material posted by users.</w:t>
      </w:r>
      <w:r>
        <w:t xml:space="preserve"> </w:t>
      </w:r>
      <w:r>
        <w:t xml:space="preserve">Section 230 does not protect against the Espionage Act, and</w:t>
      </w:r>
      <w:r>
        <w:t xml:space="preserve"> </w:t>
      </w:r>
      <w:r>
        <w:t xml:space="preserve">a site that keeps classified documents a user posted can face the retention problem in</w:t>
      </w:r>
      <w:r>
        <w:t xml:space="preserve"> </w:t>
      </w:r>
      <w:hyperlink r:id="rId29">
        <w:r>
          <w:rPr>
            <w:rStyle w:val="Hyperlink"/>
          </w:rPr>
          <w:t xml:space="preserve">Issue B4</w:t>
        </w:r>
      </w:hyperlink>
      <w:r>
        <w:t xml:space="preserve">. Moderators should</w:t>
      </w:r>
      <w:r>
        <w:t xml:space="preserve"> </w:t>
      </w:r>
      <w:r>
        <w:t xml:space="preserve">remove marked material, preserve a record of the removal, and follow the newsroom protocol (</w:t>
      </w:r>
      <w:hyperlink r:id="rId30">
        <w:r>
          <w:rPr>
            <w:rStyle w:val="Hyperlink"/>
          </w:rPr>
          <w:t xml:space="preserve">Form B4-2</w:t>
        </w:r>
      </w:hyperlink>
      <w:r>
        <w:t xml:space="preserve">). Posting</w:t>
      </w:r>
      <w:r>
        <w:t xml:space="preserve"> </w:t>
      </w:r>
      <w:r>
        <w:t xml:space="preserve">technical data on an open forum can also put it in the public domain for export-control purposes, which a</w:t>
      </w:r>
      <w:r>
        <w:t xml:space="preserve"> </w:t>
      </w:r>
      <w:r>
        <w:t xml:space="preserve">contributor may not have the right to do (</w:t>
      </w:r>
      <w:hyperlink r:id="rId31">
        <w:r>
          <w:rPr>
            <w:rStyle w:val="Hyperlink"/>
          </w:rPr>
          <w:t xml:space="preserve">Issue A5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Other torts.</w:t>
      </w:r>
      <w:r>
        <w:t xml:space="preserve"> </w:t>
      </w:r>
      <w:r>
        <w:t xml:space="preserve">California recognizes false light and public disclosure of private facts; reporting a witness’s</w:t>
      </w:r>
      <w:r>
        <w:t xml:space="preserve"> </w:t>
      </w:r>
      <w:r>
        <w:t xml:space="preserve">medical or mental health information without consent invites both (</w:t>
      </w:r>
      <w:hyperlink r:id="rId25">
        <w:r>
          <w:rPr>
            <w:rStyle w:val="Hyperlink"/>
          </w:rPr>
          <w:t xml:space="preserve">Form G1-1</w:t>
        </w:r>
      </w:hyperlink>
      <w:r>
        <w:t xml:space="preserve">, standard 7).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Time limits.</w:t>
      </w:r>
      <w:r>
        <w:t xml:space="preserve"> </w:t>
      </w:r>
      <w:r>
        <w:t xml:space="preserve">The limitations period for libel and slander in California is one year (Cal. Code Civ. Proc.</w:t>
      </w:r>
      <w:r>
        <w:t xml:space="preserve"> </w:t>
      </w:r>
      <w:r>
        <w:t xml:space="preserve">§340(c)), and under the single-publication rule an online item is published once, when first posted (Cal. Civ. Code</w:t>
      </w:r>
      <w:r>
        <w:t xml:space="preserve"> </w:t>
      </w:r>
      <w:r>
        <w:t xml:space="preserve">§3425.3), though a substantive revision may restart the clock.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Retraction statute.</w:t>
      </w:r>
      <w:r>
        <w:t xml:space="preserve"> </w:t>
      </w:r>
      <w:r>
        <w:t xml:space="preserve">For a</w:t>
      </w:r>
      <w:r>
        <w:t xml:space="preserve"> </w:t>
      </w:r>
      <w:r>
        <w:t xml:space="preserve">“</w:t>
      </w:r>
      <w:r>
        <w:t xml:space="preserve">daily or weekly news publication,</w:t>
      </w:r>
      <w:r>
        <w:t xml:space="preserve">”</w:t>
      </w:r>
      <w:r>
        <w:t xml:space="preserve"> </w:t>
      </w:r>
      <w:r>
        <w:t xml:space="preserve">including one in electronic form that publishes</w:t>
      </w:r>
      <w:r>
        <w:t xml:space="preserve"> </w:t>
      </w:r>
      <w:r>
        <w:t xml:space="preserve">at least weekly, a plaintiff who does not serve a timely correction demand, or whose demand is met by a timely</w:t>
      </w:r>
      <w:r>
        <w:t xml:space="preserve"> </w:t>
      </w:r>
      <w:r>
        <w:t xml:space="preserve">correction, is limited to special damages (Cal. Civ. Code §48a;</w:t>
      </w:r>
      <w:r>
        <w:t xml:space="preserve"> </w:t>
      </w:r>
      <w:hyperlink r:id="rId21">
        <w:r>
          <w:rPr>
            <w:rStyle w:val="Hyperlink"/>
          </w:rPr>
          <w:t xml:space="preserve">Form G1-2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Insurance.</w:t>
      </w:r>
      <w:r>
        <w:t xml:space="preserve"> </w:t>
      </w:r>
      <w:r>
        <w:t xml:space="preserve">Media liability insurance is available to small publishers and usually requires prompt notice of</w:t>
      </w:r>
      <w:r>
        <w:t xml:space="preserve"> </w:t>
      </w:r>
      <w:r>
        <w:t xml:space="preserve">any demand.</w:t>
      </w:r>
    </w:p>
    <w:bookmarkEnd w:id="32"/>
    <w:bookmarkStart w:id="33" w:name="editorial-rules-this-sites-practice"/>
    <w:p>
      <w:pPr>
        <w:pStyle w:val="Heading2"/>
      </w:pPr>
      <w:r>
        <w:t xml:space="preserve">2. Editorial rules (this site’s practice)</w:t>
      </w:r>
    </w:p>
    <w:p>
      <w:pPr>
        <w:pStyle w:val="Compact"/>
        <w:numPr>
          <w:ilvl w:val="0"/>
          <w:numId w:val="1005"/>
        </w:numPr>
      </w:pPr>
      <w:r>
        <w:t xml:space="preserve">State allegations as allegations, with source and date (</w:t>
      </w:r>
      <w:r>
        <w:t xml:space="preserve">“</w:t>
      </w:r>
      <w:r>
        <w:t xml:space="preserve">In sworn testimony before the House Oversight</w:t>
      </w:r>
      <w:r>
        <w:t xml:space="preserve"> </w:t>
      </w:r>
      <w:r>
        <w:t xml:space="preserve">Committee on July 26, 2023, [witness] stated that …</w:t>
      </w:r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Prefer official sources (hearings, filings, reports) to secondary accounts.</w:t>
      </w:r>
    </w:p>
    <w:p>
      <w:pPr>
        <w:pStyle w:val="Compact"/>
        <w:numPr>
          <w:ilvl w:val="0"/>
          <w:numId w:val="1005"/>
        </w:numPr>
      </w:pPr>
      <w:r>
        <w:t xml:space="preserve">Do not name private individuals (non-public figures) as wrongdoers without strong documentary support.</w:t>
      </w:r>
    </w:p>
    <w:p>
      <w:pPr>
        <w:pStyle w:val="Compact"/>
        <w:numPr>
          <w:ilvl w:val="0"/>
          <w:numId w:val="1005"/>
        </w:numPr>
      </w:pPr>
      <w:r>
        <w:t xml:space="preserve">Separate analysis (opinion based on disclosed facts) from factual assertions.</w:t>
      </w:r>
    </w:p>
    <w:p>
      <w:pPr>
        <w:pStyle w:val="Compact"/>
        <w:numPr>
          <w:ilvl w:val="0"/>
          <w:numId w:val="1005"/>
        </w:numPr>
      </w:pPr>
      <w:r>
        <w:t xml:space="preserve">Seek comment before publishing new allegations about named people or companies.</w:t>
      </w:r>
    </w:p>
    <w:p>
      <w:pPr>
        <w:pStyle w:val="Compact"/>
        <w:numPr>
          <w:ilvl w:val="0"/>
          <w:numId w:val="1005"/>
        </w:numPr>
      </w:pPr>
      <w:r>
        <w:t xml:space="preserve">Correct errors promptly; maintain a corrections log.</w:t>
      </w:r>
    </w:p>
    <w:p>
      <w:pPr>
        <w:pStyle w:val="Compact"/>
        <w:numPr>
          <w:ilvl w:val="0"/>
          <w:numId w:val="1005"/>
        </w:numPr>
      </w:pPr>
      <w:r>
        <w:t xml:space="preserve">Moderate user content; do not edit it in ways that change meaning (Section 230).</w:t>
      </w:r>
    </w:p>
    <w:p>
      <w:pPr>
        <w:pStyle w:val="Compact"/>
        <w:numPr>
          <w:ilvl w:val="0"/>
          <w:numId w:val="1005"/>
        </w:numPr>
      </w:pPr>
      <w:r>
        <w:t xml:space="preserve">Keep records of sources and editorial decisions.</w:t>
      </w:r>
    </w:p>
    <w:bookmarkEnd w:id="33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Publishing UAP Allegations: Defamation and Privilege for Journalists,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0" Type="http://schemas.openxmlformats.org/officeDocument/2006/relationships/hyperlink" Target="https://nhilaw.com/forms/b4-2.html" TargetMode="External"/><Relationship Id="rId25" Type="http://schemas.openxmlformats.org/officeDocument/2006/relationships/hyperlink" Target="https://nhilaw.com/forms/g1-1.html" TargetMode="External"/><Relationship Id="rId21" Type="http://schemas.openxmlformats.org/officeDocument/2006/relationships/hyperlink" Target="https://nhilaw.com/forms/g1-2.html" TargetMode="External"/><Relationship Id="rId31" Type="http://schemas.openxmlformats.org/officeDocument/2006/relationships/hyperlink" Target="https://nhilaw.com/issues/a5.html" TargetMode="External"/><Relationship Id="rId29" Type="http://schemas.openxmlformats.org/officeDocument/2006/relationships/hyperlink" Target="https://nhilaw.com/issues/b4.html" TargetMode="External"/><Relationship Id="rId27" Type="http://schemas.openxmlformats.org/officeDocument/2006/relationships/hyperlink" Target="https://nhilaw.com/issues/f4.html" TargetMode="External"/><Relationship Id="rId24" Type="http://schemas.openxmlformats.org/officeDocument/2006/relationships/hyperlink" Target="https://nhilaw.com/issues/g2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0" Type="http://schemas.openxmlformats.org/officeDocument/2006/relationships/hyperlink" Target="https://nhilaw.com/forms/b4-2.html" TargetMode="External"/><Relationship Id="rId25" Type="http://schemas.openxmlformats.org/officeDocument/2006/relationships/hyperlink" Target="https://nhilaw.com/forms/g1-1.html" TargetMode="External"/><Relationship Id="rId21" Type="http://schemas.openxmlformats.org/officeDocument/2006/relationships/hyperlink" Target="https://nhilaw.com/forms/g1-2.html" TargetMode="External"/><Relationship Id="rId31" Type="http://schemas.openxmlformats.org/officeDocument/2006/relationships/hyperlink" Target="https://nhilaw.com/issues/a5.html" TargetMode="External"/><Relationship Id="rId29" Type="http://schemas.openxmlformats.org/officeDocument/2006/relationships/hyperlink" Target="https://nhilaw.com/issues/b4.html" TargetMode="External"/><Relationship Id="rId27" Type="http://schemas.openxmlformats.org/officeDocument/2006/relationships/hyperlink" Target="https://nhilaw.com/issues/f4.html" TargetMode="External"/><Relationship Id="rId24" Type="http://schemas.openxmlformats.org/officeDocument/2006/relationships/hyperlink" Target="https://nhilaw.com/issues/g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Publishing UAP Allegations: Defamation and Privilege for Journalists, Researchers, and Lawyer-Commentators</dc:title>
  <dc:creator>nhilaw.com</dc:creator>
  <cp:keywords/>
  <dcterms:created xsi:type="dcterms:W3CDTF">2026-10-19T03:16:08Z</dcterms:created>
  <dcterms:modified xsi:type="dcterms:W3CDTF">2026-10-19T03:16:08Z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nhilaw.com/issues/g1.html</vt:lpwstr>
  </property>
</Properties>
</file>