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30" w:name="Xaa3f8c1449c3b5c1548b07a98b49d0df7ea8068"/>
    <w:p>
      <w:pPr>
        <w:pStyle w:val="Heading1"/>
      </w:pPr>
      <w:r>
        <w:t xml:space="preserve">Form G2-1. Site Notices for a Lawyer-Operated UAP Legal Resource Website (California)</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https://nhilaw.com/forms/g2-1.html</w:t>
      </w:r>
    </w:p>
    <w:p>
      <w:pPr>
        <w:pStyle w:val="BodyText"/>
        <w:spacing w:after="160" w:line="259" w:lineRule="auto"/>
      </w:pPr>
      <w:r>
        <w:rPr>
          <w:bCs/>
          <w:b/>
        </w:rPr>
        <w:t xml:space="preserve">Use.</w:t>
      </w:r>
      <w:r>
        <w:t xml:space="preserve"> </w:t>
      </w:r>
      <w:hyperlink r:id="rId20">
        <w:r>
          <w:rPr>
            <w:rStyle w:val="Hyperlink"/>
          </w:rPr>
          <w:t xml:space="preserve">Issue G2</w:t>
        </w:r>
      </w:hyperlink>
      <w:r>
        <w:t xml:space="preserve"> </w:t>
      </w:r>
      <w:r>
        <w:t xml:space="preserve">sets out the California rules that apply to a lawyer’s website: Rules 7.1-7.5 on</w:t>
      </w:r>
      <w:r>
        <w:t xml:space="preserve"> </w:t>
      </w:r>
      <w:r>
        <w:t xml:space="preserve">communications and advertising, Business and Professions Code §6157.2(b) (each advertisement must</w:t>
      </w:r>
      <w:r>
        <w:t xml:space="preserve"> </w:t>
      </w:r>
      <w:r>
        <w:t xml:space="preserve">name at least one responsible California lawyer or firm and the city, town, or county of a bona fide</w:t>
      </w:r>
      <w:r>
        <w:t xml:space="preserve"> </w:t>
      </w:r>
      <w:r>
        <w:t xml:space="preserve">office or the State Bar address of record), §6159.1 (retain a copy of each advertisement for one year),</w:t>
      </w:r>
      <w:r>
        <w:t xml:space="preserve"> </w:t>
      </w:r>
      <w:r>
        <w:t xml:space="preserve">Rule 1.18 (duties to prospective clients), and State Bar Formal Opinions 2001-155 (a lawyer website is</w:t>
      </w:r>
      <w:r>
        <w:t xml:space="preserve"> </w:t>
      </w:r>
      <w:r>
        <w:t xml:space="preserve">a communication and an advertisement) and 2005-168 (intake forms; a visitor’s reasonable expectation of</w:t>
      </w:r>
      <w:r>
        <w:t xml:space="preserve"> </w:t>
      </w:r>
      <w:r>
        <w:t xml:space="preserve">confidentiality is defeated only by a plain-language statement before submission). A UAP site has one</w:t>
      </w:r>
      <w:r>
        <w:t xml:space="preserve"> </w:t>
      </w:r>
      <w:r>
        <w:t xml:space="preserve">further risk: visitors may try to send classified information. The notices below address each point.</w:t>
      </w:r>
      <w:r>
        <w:t xml:space="preserve"> </w:t>
      </w:r>
      <w:r>
        <w:t xml:space="preserve">Place them as indicated.</w:t>
      </w:r>
    </w:p>
    <w:p>
      <w:pPr>
        <w:pStyle w:val="BodyText"/>
        <w:spacing w:after="160" w:line="259" w:lineRule="auto"/>
      </w:pPr>
      <w:r>
        <w:rPr>
          <w:bCs/>
          <w:b/>
        </w:rPr>
        <w:t xml:space="preserve">When to use.</w:t>
      </w:r>
      <w:r>
        <w:t xml:space="preserve"> </w:t>
      </w:r>
      <w:r>
        <w:t xml:space="preserve">Notices for a lawyer’s website, or (section 1A) a legal-information site run by a publisher that is not a law firm.</w:t>
      </w:r>
      <w:r>
        <w:t xml:space="preserve"> </w:t>
      </w:r>
      <w:r>
        <w:rPr>
          <w:bCs/>
          <w:b/>
        </w:rPr>
        <w:t xml:space="preserve">Not for:</w:t>
      </w:r>
      <w:r>
        <w:t xml:space="preserve"> </w:t>
      </w:r>
      <w:r>
        <w:t xml:space="preserve">Firm websites outside California without adaptation.</w:t>
      </w:r>
    </w:p>
    <w:p>
      <w:pPr>
        <w:pStyle w:val="BodyText"/>
        <w:spacing w:after="160" w:line="259" w:lineRule="auto"/>
      </w:pPr>
      <w:r>
        <w:rPr>
          <w:bCs/>
          <w:b/>
        </w:rPr>
        <w:t xml:space="preserve">Deadlines.</w:t>
      </w:r>
      <w:r>
        <w:t xml:space="preserve"> </w:t>
      </w:r>
      <w:r>
        <w:t xml:space="preserve">Keep a dated copy of each version for at least one year (Bus. &amp; Prof. Code §6159.1).</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bookmarkStart w:id="21" w:name="site-footer-every-page"/>
    <w:p>
      <w:pPr>
        <w:pStyle w:val="Heading2"/>
      </w:pPr>
      <w:r>
        <w:t xml:space="preserve">1. Site footer (every page)</w:t>
      </w:r>
    </w:p>
    <w:p>
      <w:pPr>
        <w:pStyle w:val="BlockText"/>
      </w:pPr>
      <w:r>
        <w:t xml:space="preserve">nhilaw.com is published by [Name], attorney at law, [Firm, if any], [city], California</w:t>
      </w:r>
      <w:r>
        <w:t xml:space="preserve"> </w:t>
      </w:r>
      <w:r>
        <w:t xml:space="preserve">([State Bar address of record or office address]). [Name] is admitted to practice in California</w:t>
      </w:r>
      <w:r>
        <w:t xml:space="preserve"> </w:t>
      </w:r>
      <w:r>
        <w:t xml:space="preserve">[and ____]. Information on this site is general legal information and is not legal advice. Reading it</w:t>
      </w:r>
      <w:r>
        <w:t xml:space="preserve"> </w:t>
      </w:r>
      <w:r>
        <w:t xml:space="preserve">does not create an attorney-client relationship. [Name] is not a certified specialist in any field.</w:t>
      </w:r>
      <w:r>
        <w:t xml:space="preserve"> </w:t>
      </w:r>
      <w:r>
        <w:rPr>
          <w:bCs/>
          <w:b/>
        </w:rPr>
        <w:t xml:space="preserve">Do not send classified or export-controlled information to this site or its operators.</w:t>
      </w:r>
      <w:r>
        <w:t xml:space="preserve"> </w:t>
      </w:r>
      <w:r>
        <w:t xml:space="preserve">[Privacy Policy] · [Terms of Use] · [Classified Information Notice]</w:t>
      </w:r>
    </w:p>
    <w:bookmarkEnd w:id="21"/>
    <w:bookmarkStart w:id="22" w:name="X4e56eaf277cd9d9a9043f09669da35324b5fa5b"/>
    <w:p>
      <w:pPr>
        <w:pStyle w:val="Heading2"/>
      </w:pPr>
      <w:r>
        <w:t xml:space="preserve">1A. Site footer for a publisher that is not a law firm (every page)</w:t>
      </w:r>
    </w:p>
    <w:p>
      <w:pPr>
        <w:pStyle w:val="BlockText"/>
      </w:pPr>
      <w:r>
        <w:t xml:space="preserve">[Site name] is published by [Organization], [city, state]. [Organization] is not a law firm, does not offer legal</w:t>
      </w:r>
      <w:r>
        <w:t xml:space="preserve"> </w:t>
      </w:r>
      <w:r>
        <w:t xml:space="preserve">services, and does not give legal advice. The analyses and forms on this site are general legal information</w:t>
      </w:r>
      <w:r>
        <w:t xml:space="preserve"> </w:t>
      </w:r>
      <w:r>
        <w:t xml:space="preserve">written for lawyers and researchers; they are not a substitute for advice from a lawyer licensed in your</w:t>
      </w:r>
      <w:r>
        <w:t xml:space="preserve"> </w:t>
      </w:r>
      <w:r>
        <w:t xml:space="preserve">jurisdiction who knows your facts. Using the site, posting in the community, or writing to us does not create an</w:t>
      </w:r>
      <w:r>
        <w:t xml:space="preserve"> </w:t>
      </w:r>
      <w:r>
        <w:t xml:space="preserve">attorney-client relationship with anyone, and what you send us is not confidential.</w:t>
      </w:r>
      <w:r>
        <w:t xml:space="preserve"> </w:t>
      </w:r>
      <w:r>
        <w:rPr>
          <w:bCs/>
          <w:b/>
        </w:rPr>
        <w:t xml:space="preserve">Do not send classified or export-controlled information to this site or its operators.</w:t>
      </w:r>
      <w:r>
        <w:t xml:space="preserve"> </w:t>
      </w:r>
      <w:r>
        <w:t xml:space="preserve">[Privacy Policy] · [Terms of Use] · [Classified Information Notice]</w:t>
      </w:r>
    </w:p>
    <w:p>
      <w:pPr>
        <w:pStyle w:val="FirstParagraph"/>
      </w:pPr>
      <w:r>
        <w:t xml:space="preserve">For this version, replace the contact-form notice in section 2 with:</w:t>
      </w:r>
      <w:r>
        <w:t xml:space="preserve"> </w:t>
      </w:r>
      <w:r>
        <w:t xml:space="preserve">“</w:t>
      </w:r>
      <w:r>
        <w:t xml:space="preserve">This form is for questions about the site and</w:t>
      </w:r>
      <w:r>
        <w:t xml:space="preserve"> </w:t>
      </w:r>
      <w:r>
        <w:t xml:space="preserve">the community. We cannot answer legal questions about your situation or review your documents. Do not include</w:t>
      </w:r>
      <w:r>
        <w:t xml:space="preserve"> </w:t>
      </w:r>
      <w:r>
        <w:t xml:space="preserve">confidential, classified, or export-controlled information.</w:t>
      </w:r>
      <w:r>
        <w:t xml:space="preserve">”</w:t>
      </w:r>
      <w:r>
        <w:t xml:space="preserve"> </w:t>
      </w:r>
      <w:r>
        <w:t xml:space="preserve">Omit the jurisdiction statement in the terms of use,</w:t>
      </w:r>
      <w:r>
        <w:t xml:space="preserve"> </w:t>
      </w:r>
      <w:r>
        <w:t xml:space="preserve">and add:</w:t>
      </w:r>
      <w:r>
        <w:t xml:space="preserve"> </w:t>
      </w:r>
      <w:r>
        <w:t xml:space="preserve">“</w:t>
      </w:r>
      <w:r>
        <w:t xml:space="preserve">Forum posts asking for advice on a particular matter will be answered, if at all, with a suggestion to</w:t>
      </w:r>
      <w:r>
        <w:t xml:space="preserve"> </w:t>
      </w:r>
      <w:r>
        <w:t xml:space="preserve">consult a lawyer.</w:t>
      </w:r>
      <w:r>
        <w:t xml:space="preserve">”</w:t>
      </w:r>
    </w:p>
    <w:bookmarkEnd w:id="22"/>
    <w:bookmarkStart w:id="23" w:name="X64c8a7fbc953c0511e2cb7375ecfb81bb01e911"/>
    <w:p>
      <w:pPr>
        <w:pStyle w:val="Heading2"/>
      </w:pPr>
      <w:r>
        <w:t xml:space="preserve">2. Contact or intake form (before the submit button, with a required checkbox)</w:t>
      </w:r>
    </w:p>
    <w:p>
      <w:pPr>
        <w:pStyle w:val="BlockText"/>
      </w:pPr>
      <w:r>
        <w:rPr>
          <w:bCs/>
          <w:b/>
        </w:rPr>
        <w:t xml:space="preserve">Please read before you submit.</w:t>
      </w:r>
      <w:r>
        <w:t xml:space="preserve"> </w:t>
      </w:r>
      <w:r>
        <w:t xml:space="preserve">Information you submit through this form will</w:t>
      </w:r>
      <w:r>
        <w:t xml:space="preserve"> </w:t>
      </w:r>
      <w:r>
        <w:rPr>
          <w:bCs/>
          <w:b/>
        </w:rPr>
        <w:t xml:space="preserve">not</w:t>
      </w:r>
      <w:r>
        <w:t xml:space="preserve"> </w:t>
      </w:r>
      <w:r>
        <w:t xml:space="preserve">be confidential and will</w:t>
      </w:r>
      <w:r>
        <w:t xml:space="preserve"> </w:t>
      </w:r>
      <w:r>
        <w:rPr>
          <w:bCs/>
          <w:b/>
        </w:rPr>
        <w:t xml:space="preserve">not</w:t>
      </w:r>
      <w:r>
        <w:t xml:space="preserve"> </w:t>
      </w:r>
      <w:r>
        <w:t xml:space="preserve">create an</w:t>
      </w:r>
      <w:r>
        <w:t xml:space="preserve"> </w:t>
      </w:r>
      <w:r>
        <w:t xml:space="preserve">attorney-client relationship. Do not describe the details of your situation. Give only your name,</w:t>
      </w:r>
      <w:r>
        <w:t xml:space="preserve"> </w:t>
      </w:r>
      <w:r>
        <w:t xml:space="preserve">contact information, the state where you live, and the names of any other people, companies, or</w:t>
      </w:r>
      <w:r>
        <w:t xml:space="preserve"> </w:t>
      </w:r>
      <w:r>
        <w:t xml:space="preserve">agencies involved, so that we can check for conflicts of interest. A lawyer will contact you if we</w:t>
      </w:r>
      <w:r>
        <w:t xml:space="preserve"> </w:t>
      </w:r>
      <w:r>
        <w:t xml:space="preserve">are able to help.</w:t>
      </w:r>
    </w:p>
    <w:p>
      <w:pPr>
        <w:pStyle w:val="BlockText"/>
      </w:pPr>
      <w:r>
        <w:rPr>
          <w:bCs/>
          <w:b/>
        </w:rPr>
        <w:t xml:space="preserve">Never send classified information, export-controlled technical data, or information you are bound</w:t>
      </w:r>
      <w:r>
        <w:rPr>
          <w:bCs/>
          <w:b/>
        </w:rPr>
        <w:t xml:space="preserve"> </w:t>
      </w:r>
      <w:r>
        <w:rPr>
          <w:bCs/>
          <w:b/>
        </w:rPr>
        <w:t xml:space="preserve">by a nondisclosure agreement to protect.</w:t>
      </w:r>
      <w:r>
        <w:t xml:space="preserve"> </w:t>
      </w:r>
      <w:r>
        <w:t xml:space="preserve">If you hold such information and want to report it, see</w:t>
      </w:r>
      <w:r>
        <w:t xml:space="preserve"> </w:t>
      </w:r>
      <w:r>
        <w:t xml:space="preserve">our Classified Information Notice for lawful reporting channels.</w:t>
      </w:r>
    </w:p>
    <w:p>
      <w:pPr>
        <w:pStyle w:val="BlockText"/>
      </w:pPr>
      <w:r>
        <w:t xml:space="preserve">☐ I have read this notice. I understand that what I submit is not confidential and that no</w:t>
      </w:r>
      <w:r>
        <w:t xml:space="preserve"> </w:t>
      </w:r>
      <w:r>
        <w:t xml:space="preserve">attorney-client relationship is formed.</w:t>
      </w:r>
    </w:p>
    <w:bookmarkEnd w:id="23"/>
    <w:bookmarkStart w:id="24" w:name="X53b87795140c3c6bac3c41ca5af9e0e15354e3f"/>
    <w:p>
      <w:pPr>
        <w:pStyle w:val="Heading2"/>
      </w:pPr>
      <w:r>
        <w:t xml:space="preserve">3. Classified Information Notice (standalone page, linked from the footer and the contact form)</w:t>
      </w:r>
    </w:p>
    <w:p>
      <w:pPr>
        <w:pStyle w:val="BlockText"/>
      </w:pPr>
      <w:r>
        <w:rPr>
          <w:bCs/>
          <w:b/>
        </w:rPr>
        <w:t xml:space="preserve">If you have classified information about UAP programs</w:t>
      </w:r>
    </w:p>
    <w:p>
      <w:pPr>
        <w:pStyle w:val="BlockText"/>
      </w:pPr>
      <w:r>
        <w:t xml:space="preserve">Do not send it to us, post it online, or share it with journalists, researchers, or anyone else who</w:t>
      </w:r>
      <w:r>
        <w:t xml:space="preserve"> </w:t>
      </w:r>
      <w:r>
        <w:t xml:space="preserve">is not authorized to receive it. Unauthorized disclosure can be a federal crime even when the</w:t>
      </w:r>
      <w:r>
        <w:t xml:space="preserve"> </w:t>
      </w:r>
      <w:r>
        <w:t xml:space="preserve">purpose is to inform the public.</w:t>
      </w:r>
    </w:p>
    <w:p>
      <w:pPr>
        <w:pStyle w:val="BlockText"/>
      </w:pPr>
      <w:r>
        <w:t xml:space="preserve">Federal law provides authorized channels:</w:t>
      </w:r>
      <w:r>
        <w:t xml:space="preserve"> </w:t>
      </w:r>
      <w:r>
        <w:t xml:space="preserve">-</w:t>
      </w:r>
      <w:r>
        <w:t xml:space="preserve"> </w:t>
      </w:r>
      <w:r>
        <w:rPr>
          <w:bCs/>
          <w:b/>
        </w:rPr>
        <w:t xml:space="preserve">The All-domain Anomaly Resolution Office (AARO)</w:t>
      </w:r>
      <w:r>
        <w:t xml:space="preserve"> </w:t>
      </w:r>
      <w:r>
        <w:t xml:space="preserve">operates a secure mechanism for current and</w:t>
      </w:r>
      <w:r>
        <w:t xml:space="preserve"> </w:t>
      </w:r>
      <w:r>
        <w:t xml:space="preserve">former government employees, service members, and contractor personnel to report UAP-related</w:t>
      </w:r>
      <w:r>
        <w:t xml:space="preserve"> </w:t>
      </w:r>
      <w:r>
        <w:t xml:space="preserve">information, including information about programs. Disclosures through that mechanism are</w:t>
      </w:r>
      <w:r>
        <w:t xml:space="preserve"> </w:t>
      </w:r>
      <w:r>
        <w:t xml:space="preserve">authorized by statute and protected against reprisal. 50 U.S.C. §3373b.</w:t>
      </w:r>
      <w:r>
        <w:t xml:space="preserve"> </w:t>
      </w:r>
      <w:r>
        <w:t xml:space="preserve">-</w:t>
      </w:r>
      <w:r>
        <w:t xml:space="preserve"> </w:t>
      </w:r>
      <w:r>
        <w:rPr>
          <w:bCs/>
          <w:b/>
        </w:rPr>
        <w:t xml:space="preserve">Inspectors general</w:t>
      </w:r>
      <w:r>
        <w:t xml:space="preserve"> </w:t>
      </w:r>
      <w:r>
        <w:t xml:space="preserve">and the</w:t>
      </w:r>
      <w:r>
        <w:t xml:space="preserve"> </w:t>
      </w:r>
      <w:r>
        <w:rPr>
          <w:bCs/>
          <w:b/>
        </w:rPr>
        <w:t xml:space="preserve">Intelligence Community Inspector General</w:t>
      </w:r>
      <w:r>
        <w:t xml:space="preserve"> </w:t>
      </w:r>
      <w:r>
        <w:t xml:space="preserve">accept reports of</w:t>
      </w:r>
      <w:r>
        <w:t xml:space="preserve"> </w:t>
      </w:r>
      <w:r>
        <w:t xml:space="preserve">wrongdoing and can transmit urgent concerns to the congressional intelligence committees.</w:t>
      </w:r>
      <w:r>
        <w:t xml:space="preserve"> </w:t>
      </w:r>
      <w:r>
        <w:t xml:space="preserve">-</w:t>
      </w:r>
      <w:r>
        <w:t xml:space="preserve"> </w:t>
      </w:r>
      <w:r>
        <w:rPr>
          <w:bCs/>
          <w:b/>
        </w:rPr>
        <w:t xml:space="preserve">Congress.</w:t>
      </w:r>
      <w:r>
        <w:t xml:space="preserve"> </w:t>
      </w:r>
      <w:r>
        <w:t xml:space="preserve">The intelligence and armed services committees receive classified information</w:t>
      </w:r>
      <w:r>
        <w:t xml:space="preserve"> </w:t>
      </w:r>
      <w:r>
        <w:t xml:space="preserve">through cleared staff and secure procedures. Contact the committee through counsel; do not send</w:t>
      </w:r>
      <w:r>
        <w:t xml:space="preserve"> </w:t>
      </w:r>
      <w:r>
        <w:t xml:space="preserve">classified information by ordinary email or mail.</w:t>
      </w:r>
    </w:p>
    <w:p>
      <w:pPr>
        <w:pStyle w:val="BlockText"/>
      </w:pPr>
      <w:r>
        <w:t xml:space="preserve">A lawyer who holds the necessary clearance, or who can arrange to meet you in an approved facility,</w:t>
      </w:r>
      <w:r>
        <w:t xml:space="preserve"> </w:t>
      </w:r>
      <w:r>
        <w:t xml:space="preserve">can help you use these channels safely. You may tell a lawyer, in unclassified terms, that you hold</w:t>
      </w:r>
      <w:r>
        <w:t xml:space="preserve"> </w:t>
      </w:r>
      <w:r>
        <w:t xml:space="preserve">classified information and want advice, without describing it. See our practitioner materials on</w:t>
      </w:r>
      <w:r>
        <w:t xml:space="preserve"> </w:t>
      </w:r>
      <w:r>
        <w:t xml:space="preserve">whistleblower protections (Issues C1-C4).</w:t>
      </w:r>
    </w:p>
    <w:bookmarkEnd w:id="24"/>
    <w:bookmarkStart w:id="25" w:name="Xd62d317c07cb96bde74f0a40e0572269dfab204"/>
    <w:p>
      <w:pPr>
        <w:pStyle w:val="Heading2"/>
      </w:pPr>
      <w:r>
        <w:t xml:space="preserve">4. Forms and templates pages (header of each form)</w:t>
      </w:r>
    </w:p>
    <w:p>
      <w:pPr>
        <w:pStyle w:val="BlockText"/>
      </w:pPr>
      <w:r>
        <w:t xml:space="preserve">Sample template for use by or with a licensed attorney. Not legal advice. Laws differ by</w:t>
      </w:r>
      <w:r>
        <w:t xml:space="preserve"> </w:t>
      </w:r>
      <w:r>
        <w:t xml:space="preserve">jurisdiction and change over time; adapt the template to your facts and verify every citation</w:t>
      </w:r>
      <w:r>
        <w:t xml:space="preserve"> </w:t>
      </w:r>
      <w:r>
        <w:t xml:space="preserve">before use.</w:t>
      </w:r>
    </w:p>
    <w:bookmarkEnd w:id="25"/>
    <w:bookmarkStart w:id="26" w:name="practitioner-analysis-pages-header"/>
    <w:p>
      <w:pPr>
        <w:pStyle w:val="Heading2"/>
      </w:pPr>
      <w:r>
        <w:t xml:space="preserve">5. Practitioner analysis pages (header)</w:t>
      </w:r>
    </w:p>
    <w:p>
      <w:pPr>
        <w:pStyle w:val="BlockText"/>
      </w:pPr>
      <w:r>
        <w:t xml:space="preserve">Practitioner analysis current as of [date]. General legal information for lawyers and researchers;</w:t>
      </w:r>
      <w:r>
        <w:t xml:space="preserve"> </w:t>
      </w:r>
      <w:r>
        <w:t xml:space="preserve">not legal advice for any particular situation. Citations were verified as of the date shown.</w:t>
      </w:r>
    </w:p>
    <w:bookmarkEnd w:id="26"/>
    <w:bookmarkStart w:id="27" w:name="terms-of-use-key-provisions"/>
    <w:p>
      <w:pPr>
        <w:pStyle w:val="Heading2"/>
      </w:pPr>
      <w:r>
        <w:t xml:space="preserve">6. Terms of Use (key provisions)</w:t>
      </w:r>
    </w:p>
    <w:p>
      <w:pPr>
        <w:pStyle w:val="Compact"/>
        <w:numPr>
          <w:ilvl w:val="0"/>
          <w:numId w:val="1001"/>
        </w:numPr>
      </w:pPr>
      <w:r>
        <w:rPr>
          <w:bCs/>
          <w:b/>
        </w:rPr>
        <w:t xml:space="preserve">No legal advice.</w:t>
      </w:r>
      <w:r>
        <w:t xml:space="preserve"> </w:t>
      </w:r>
      <w:r>
        <w:t xml:space="preserve">Content on this site is general information. It is not a substitute for</w:t>
      </w:r>
      <w:r>
        <w:t xml:space="preserve"> </w:t>
      </w:r>
      <w:r>
        <w:t xml:space="preserve">advice from a lawyer licensed in your jurisdiction who knows your facts.</w:t>
      </w:r>
    </w:p>
    <w:p>
      <w:pPr>
        <w:pStyle w:val="Compact"/>
        <w:numPr>
          <w:ilvl w:val="0"/>
          <w:numId w:val="1001"/>
        </w:numPr>
      </w:pPr>
      <w:r>
        <w:rPr>
          <w:bCs/>
          <w:b/>
        </w:rPr>
        <w:t xml:space="preserve">No attorney-client relationship</w:t>
      </w:r>
      <w:r>
        <w:t xml:space="preserve"> </w:t>
      </w:r>
      <w:r>
        <w:t xml:space="preserve">is formed by using the site, by submitting the contact form,</w:t>
      </w:r>
      <w:r>
        <w:t xml:space="preserve"> </w:t>
      </w:r>
      <w:r>
        <w:t xml:space="preserve">or by email, until a written engagement agreement is signed.</w:t>
      </w:r>
    </w:p>
    <w:p>
      <w:pPr>
        <w:pStyle w:val="Compact"/>
        <w:numPr>
          <w:ilvl w:val="0"/>
          <w:numId w:val="1001"/>
        </w:numPr>
      </w:pPr>
      <w:r>
        <w:rPr>
          <w:bCs/>
          <w:b/>
        </w:rPr>
        <w:t xml:space="preserve">Jurisdiction.</w:t>
      </w:r>
      <w:r>
        <w:t xml:space="preserve"> </w:t>
      </w:r>
      <w:r>
        <w:t xml:space="preserve">The operator is admitted only in [California]. The site is not intended to</w:t>
      </w:r>
      <w:r>
        <w:t xml:space="preserve"> </w:t>
      </w:r>
      <w:r>
        <w:t xml:space="preserve">solicit clients in jurisdictions where the operator is not admitted.</w:t>
      </w:r>
    </w:p>
    <w:p>
      <w:pPr>
        <w:pStyle w:val="Compact"/>
        <w:numPr>
          <w:ilvl w:val="0"/>
          <w:numId w:val="1001"/>
        </w:numPr>
      </w:pPr>
      <w:r>
        <w:rPr>
          <w:bCs/>
          <w:b/>
        </w:rPr>
        <w:t xml:space="preserve">User submissions and comments</w:t>
      </w:r>
      <w:r>
        <w:t xml:space="preserve"> </w:t>
      </w:r>
      <w:r>
        <w:t xml:space="preserve">must not include classified, export-controlled, or confidential</w:t>
      </w:r>
      <w:r>
        <w:t xml:space="preserve"> </w:t>
      </w:r>
      <w:r>
        <w:t xml:space="preserve">information, or defamatory or unlawful content. We may remove submissions at our discretion.</w:t>
      </w:r>
    </w:p>
    <w:p>
      <w:pPr>
        <w:pStyle w:val="Compact"/>
        <w:numPr>
          <w:ilvl w:val="0"/>
          <w:numId w:val="1001"/>
        </w:numPr>
      </w:pPr>
      <w:r>
        <w:rPr>
          <w:bCs/>
          <w:b/>
        </w:rPr>
        <w:t xml:space="preserve">Accuracy.</w:t>
      </w:r>
      <w:r>
        <w:t xml:space="preserve"> </w:t>
      </w:r>
      <w:r>
        <w:t xml:space="preserve">We work to keep content accurate and current but make no warranty. Report errors to</w:t>
      </w:r>
      <w:r>
        <w:t xml:space="preserve"> </w:t>
      </w:r>
      <w:r>
        <w:t xml:space="preserve">[email]; corrections are dated.</w:t>
      </w:r>
    </w:p>
    <w:p>
      <w:pPr>
        <w:pStyle w:val="Compact"/>
        <w:numPr>
          <w:ilvl w:val="0"/>
          <w:numId w:val="1001"/>
        </w:numPr>
      </w:pPr>
      <w:r>
        <w:rPr>
          <w:bCs/>
          <w:b/>
        </w:rPr>
        <w:t xml:space="preserve">Links</w:t>
      </w:r>
      <w:r>
        <w:t xml:space="preserve"> </w:t>
      </w:r>
      <w:r>
        <w:t xml:space="preserve">to third-party sites are for convenience and are not endorsements.</w:t>
      </w:r>
    </w:p>
    <w:p>
      <w:pPr>
        <w:pStyle w:val="Compact"/>
        <w:numPr>
          <w:ilvl w:val="0"/>
          <w:numId w:val="1001"/>
        </w:numPr>
      </w:pPr>
      <w:r>
        <w:rPr>
          <w:bCs/>
          <w:b/>
        </w:rPr>
        <w:t xml:space="preserve">Governing law.</w:t>
      </w:r>
      <w:r>
        <w:t xml:space="preserve"> </w:t>
      </w:r>
      <w:r>
        <w:t xml:space="preserve">These terms are governed by California law.</w:t>
      </w:r>
    </w:p>
    <w:p>
      <w:pPr>
        <w:pStyle w:val="FirstParagraph"/>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End w:id="27"/>
    <w:bookmarkStart w:id="29" w:name="drafting-notes"/>
    <w:p>
      <w:pPr>
        <w:pStyle w:val="Heading2"/>
      </w:pPr>
      <w:r>
        <w:t xml:space="preserve">Drafting notes</w:t>
      </w:r>
    </w:p>
    <w:p>
      <w:pPr>
        <w:pStyle w:val="Compact"/>
        <w:numPr>
          <w:ilvl w:val="0"/>
          <w:numId w:val="1002"/>
        </w:numPr>
      </w:pPr>
      <w:r>
        <w:rPr>
          <w:bCs/>
          <w:b/>
        </w:rPr>
        <w:t xml:space="preserve">Formal Opinion 2005-168.</w:t>
      </w:r>
      <w:r>
        <w:t xml:space="preserve"> </w:t>
      </w:r>
      <w:r>
        <w:t xml:space="preserve">The contact-form notice is written to meet the opinion’s requirement of</w:t>
      </w:r>
      <w:r>
        <w:t xml:space="preserve"> </w:t>
      </w:r>
      <w:r>
        <w:t xml:space="preserve">a plain-language statement, before submission, that information submitted will not be confidential,</w:t>
      </w:r>
      <w:r>
        <w:t xml:space="preserve"> </w:t>
      </w:r>
      <w:r>
        <w:t xml:space="preserve">and it limits intake to conflict-check information. A bare</w:t>
      </w:r>
      <w:r>
        <w:t xml:space="preserve"> </w:t>
      </w:r>
      <w:r>
        <w:t xml:space="preserve">“</w:t>
      </w:r>
      <w:r>
        <w:t xml:space="preserve">no attorney-client relationship</w:t>
      </w:r>
      <w:r>
        <w:t xml:space="preserve">”</w:t>
      </w:r>
      <w:r>
        <w:t xml:space="preserve"> </w:t>
      </w:r>
      <w:r>
        <w:t xml:space="preserve">disclaimer is not enough under that opinion. Both State Bar opinions predate the 2018 Rules of</w:t>
      </w:r>
      <w:r>
        <w:t xml:space="preserve"> </w:t>
      </w:r>
      <w:r>
        <w:t xml:space="preserve">Professional Conduct and are advisory; the notice also tracks Rule 1.18.</w:t>
      </w:r>
    </w:p>
    <w:p>
      <w:pPr>
        <w:pStyle w:val="Compact"/>
        <w:numPr>
          <w:ilvl w:val="0"/>
          <w:numId w:val="1002"/>
        </w:numPr>
      </w:pPr>
      <w:r>
        <w:rPr>
          <w:bCs/>
          <w:b/>
        </w:rPr>
        <w:t xml:space="preserve">No</w:t>
      </w:r>
      <w:r>
        <w:rPr>
          <w:bCs/>
          <w:b/>
        </w:rPr>
        <w:t xml:space="preserve"> </w:t>
      </w:r>
      <w:r>
        <w:rPr>
          <w:bCs/>
          <w:b/>
        </w:rPr>
        <w:t xml:space="preserve">“</w:t>
      </w:r>
      <w:r>
        <w:rPr>
          <w:bCs/>
          <w:b/>
        </w:rPr>
        <w:t xml:space="preserve">specialist</w:t>
      </w:r>
      <w:r>
        <w:rPr>
          <w:bCs/>
          <w:b/>
        </w:rPr>
        <w:t xml:space="preserve">”</w:t>
      </w:r>
      <w:r>
        <w:rPr>
          <w:bCs/>
          <w:b/>
        </w:rPr>
        <w:t xml:space="preserve"> </w:t>
      </w:r>
      <w:r>
        <w:rPr>
          <w:bCs/>
          <w:b/>
        </w:rPr>
        <w:t xml:space="preserve">claims.</w:t>
      </w:r>
      <w:r>
        <w:t xml:space="preserve"> </w:t>
      </w:r>
      <w:r>
        <w:t xml:space="preserve">Rule 7.4 bars implying certified specialist status. Phrases such as</w:t>
      </w:r>
      <w:r>
        <w:t xml:space="preserve"> </w:t>
      </w:r>
      <w:r>
        <w:t xml:space="preserve">“</w:t>
      </w:r>
      <w:r>
        <w:t xml:space="preserve">UAP</w:t>
      </w:r>
      <w:r>
        <w:t xml:space="preserve"> </w:t>
      </w:r>
      <w:r>
        <w:t xml:space="preserve">law specialist</w:t>
      </w:r>
      <w:r>
        <w:t xml:space="preserve">”</w:t>
      </w:r>
      <w:r>
        <w:t xml:space="preserve"> </w:t>
      </w:r>
      <w:r>
        <w:t xml:space="preserve">or</w:t>
      </w:r>
      <w:r>
        <w:t xml:space="preserve"> </w:t>
      </w:r>
      <w:r>
        <w:t xml:space="preserve">“</w:t>
      </w:r>
      <w:r>
        <w:t xml:space="preserve">expert in national security law</w:t>
      </w:r>
      <w:r>
        <w:t xml:space="preserve">”</w:t>
      </w:r>
      <w:r>
        <w:t xml:space="preserve"> </w:t>
      </w:r>
      <w:r>
        <w:t xml:space="preserve">should not appear anywhere on the site.</w:t>
      </w:r>
    </w:p>
    <w:p>
      <w:pPr>
        <w:pStyle w:val="Compact"/>
        <w:numPr>
          <w:ilvl w:val="0"/>
          <w:numId w:val="1002"/>
        </w:numPr>
      </w:pPr>
      <w:r>
        <w:rPr>
          <w:bCs/>
          <w:b/>
        </w:rPr>
        <w:t xml:space="preserve">Retention.</w:t>
      </w:r>
      <w:r>
        <w:t xml:space="preserve"> </w:t>
      </w:r>
      <w:r>
        <w:t xml:space="preserve">Archive a dated copy of each version of the footer, the contact page, and any page</w:t>
      </w:r>
      <w:r>
        <w:t xml:space="preserve"> </w:t>
      </w:r>
      <w:r>
        <w:t xml:space="preserve">that solicits clients, for at least one year (Bus. &amp; Prof. Code §6159.1).</w:t>
      </w:r>
    </w:p>
    <w:p>
      <w:pPr>
        <w:pStyle w:val="Compact"/>
        <w:numPr>
          <w:ilvl w:val="0"/>
          <w:numId w:val="1002"/>
        </w:numPr>
      </w:pPr>
      <w:r>
        <w:rPr>
          <w:bCs/>
          <w:b/>
        </w:rPr>
        <w:t xml:space="preserve">Testimonials.</w:t>
      </w:r>
      <w:r>
        <w:t xml:space="preserve"> </w:t>
      </w:r>
      <w:r>
        <w:t xml:space="preserve">If the site ever publishes client testimonials, check Rule 7.1 and §6157.2(a)(3)</w:t>
      </w:r>
      <w:r>
        <w:t xml:space="preserve"> </w:t>
      </w:r>
      <w:r>
        <w:t xml:space="preserve">(impersonation and dramatization disclosures) first.</w:t>
      </w:r>
    </w:p>
    <w:p>
      <w:pPr>
        <w:pStyle w:val="Compact"/>
        <w:numPr>
          <w:ilvl w:val="0"/>
          <w:numId w:val="1002"/>
        </w:numPr>
      </w:pPr>
      <w:r>
        <w:rPr>
          <w:bCs/>
          <w:b/>
        </w:rPr>
        <w:t xml:space="preserve">Classified Information Notice.</w:t>
      </w:r>
      <w:r>
        <w:t xml:space="preserve"> </w:t>
      </w:r>
      <w:r>
        <w:t xml:space="preserve">The notice describes channels and gives no individual advice on</w:t>
      </w:r>
      <w:r>
        <w:t xml:space="preserve"> </w:t>
      </w:r>
      <w:r>
        <w:t xml:space="preserve">whether a particular disclosure is protected. Keep it general.</w:t>
      </w:r>
    </w:p>
    <w:p>
      <w:pPr>
        <w:pStyle w:val="Compact"/>
        <w:numPr>
          <w:ilvl w:val="0"/>
          <w:numId w:val="1002"/>
        </w:numPr>
      </w:pPr>
      <w:r>
        <w:rPr>
          <w:bCs/>
          <w:b/>
        </w:rPr>
        <w:t xml:space="preserve">Non-lawyer publisher (section 1A).</w:t>
      </w:r>
      <w:r>
        <w:t xml:space="preserve"> </w:t>
      </w:r>
      <w:r>
        <w:t xml:space="preserve">The Texas safe harbor for websites and software that</w:t>
      </w:r>
      <w:r>
        <w:t xml:space="preserve"> </w:t>
      </w:r>
      <w:r>
        <w:t xml:space="preserve">“</w:t>
      </w:r>
      <w:r>
        <w:t xml:space="preserve">clearly and</w:t>
      </w:r>
      <w:r>
        <w:t xml:space="preserve"> </w:t>
      </w:r>
      <w:r>
        <w:t xml:space="preserve">conspicuously</w:t>
      </w:r>
      <w:r>
        <w:t xml:space="preserve">”</w:t>
      </w:r>
      <w:r>
        <w:t xml:space="preserve"> </w:t>
      </w:r>
      <w:r>
        <w:t xml:space="preserve">state they are not a substitute for a lawyer (Tex. Gov’t Code §81.101(c)) is the model for the</w:t>
      </w:r>
      <w:r>
        <w:t xml:space="preserve"> </w:t>
      </w:r>
      <w:r>
        <w:t xml:space="preserve">section 1A wording. The notice helps only if the site’s conduct matches it: no individual answers, no completion</w:t>
      </w:r>
      <w:r>
        <w:t xml:space="preserve"> </w:t>
      </w:r>
      <w:r>
        <w:t xml:space="preserve">of a visitor’s documents (</w:t>
      </w:r>
      <w:r>
        <w:rPr>
          <w:iCs/>
          <w:i/>
        </w:rPr>
        <w:t xml:space="preserve">Janson v. LegalZoom.com, Inc.</w:t>
      </w:r>
      <w:r>
        <w:t xml:space="preserve">, 802 F. Supp. 2d 1053 (W.D. Mo. 2011)).</w:t>
      </w:r>
    </w:p>
    <w:p>
      <w:pPr>
        <w:pStyle w:val="Compact"/>
        <w:numPr>
          <w:ilvl w:val="0"/>
          <w:numId w:val="1002"/>
        </w:numPr>
      </w:pPr>
      <w:r>
        <w:t xml:space="preserve">Related:</w:t>
      </w:r>
      <w:r>
        <w:t xml:space="preserve"> </w:t>
      </w:r>
      <w:hyperlink r:id="rId20">
        <w:r>
          <w:rPr>
            <w:rStyle w:val="Hyperlink"/>
          </w:rPr>
          <w:t xml:space="preserve">Issue G2</w:t>
        </w:r>
      </w:hyperlink>
      <w:r>
        <w:t xml:space="preserve">, G1, C1-C4;</w:t>
      </w:r>
      <w:r>
        <w:t xml:space="preserve"> </w:t>
      </w:r>
      <w:hyperlink r:id="rId28">
        <w:r>
          <w:rPr>
            <w:rStyle w:val="Hyperlink"/>
          </w:rPr>
          <w:t xml:space="preserve">Form G1-1</w:t>
        </w:r>
      </w:hyperlink>
      <w:r>
        <w:t xml:space="preserve">.</w:t>
      </w:r>
    </w:p>
    <w:bookmarkEnd w:id="29"/>
    <w:bookmarkEnd w:id="30"/>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8" Type="http://schemas.openxmlformats.org/officeDocument/2006/relationships/hyperlink" Target="https://nhilaw.com/forms/g1-1.html" TargetMode="External"/><Relationship Id="rId20" Type="http://schemas.openxmlformats.org/officeDocument/2006/relationships/hyperlink" Target="https://nhilaw.com/issues/g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8" Type="http://schemas.openxmlformats.org/officeDocument/2006/relationships/hyperlink" Target="https://nhilaw.com/forms/g1-1.html" TargetMode="External"/><Relationship Id="rId20" Type="http://schemas.openxmlformats.org/officeDocument/2006/relationships/hyperlink" Target="https://nhilaw.com/issues/g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G2-1. Site Notices for a Lawyer-Operated UAP Legal Resource Website (California)</dc:title>
  <dc:creator>nhilaw.com</dc:creator>
  <cp:keywords/>
  <dcterms:created xsi:type="dcterms:W3CDTF">2026-10-19T03:16:20Z</dcterms:created>
  <dcterms:modified xsi:type="dcterms:W3CDTF">2026-10-19T03:16:20Z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