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Running a UAP Practice or Legal-Information Site: Advertising, Prospective Clients, and Unauthorized Practice</w:t>
      </w:r>
    </w:p>
    <w:p>
      <w:pPr>
        <w:pStyle w:val="Subtitle"/>
      </w:pPr>
      <w:r>
        <w:t xml:space="preserve">Version 1.10 · October 2026 · nhilaw.com/issues/g2.html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A lawyer’s website that promotes the lawyer’s services is a communication and an advertisement under California rules 7.1-7.5 and Bus. &amp; Prof. Code §§6157-6159.2; name a responsible lawyer and keep dated copies.</w:t>
      </w:r>
    </w:p>
    <w:p>
      <w:pPr>
        <w:pStyle w:val="Compact"/>
        <w:numPr>
          <w:ilvl w:val="0"/>
          <w:numId w:val="1001"/>
        </w:numPr>
      </w:pPr>
      <w:r>
        <w:t xml:space="preserve">Intake forms create prospective-client duties unless the site says, in plain language before submission, that the information will not be confidential (State Bar Op. 2005-168; rule 1.18).</w:t>
      </w:r>
    </w:p>
    <w:p>
      <w:pPr>
        <w:pStyle w:val="Compact"/>
        <w:numPr>
          <w:ilvl w:val="0"/>
          <w:numId w:val="1001"/>
        </w:numPr>
      </w:pPr>
      <w:r>
        <w:t xml:space="preserve">A publisher that is not a law firm must stay on the information side of the unauthorized-practice line (Bus. &amp; Prof. Code §6125;</w:t>
      </w:r>
      <w:r>
        <w:t xml:space="preserve"> </w:t>
      </w:r>
      <w:r>
        <w:rPr>
          <w:iCs/>
          <w:i/>
        </w:rPr>
        <w:t xml:space="preserve">Parsons Technology</w:t>
      </w:r>
      <w:r>
        <w:t xml:space="preserve">;</w:t>
      </w:r>
      <w:r>
        <w:t xml:space="preserve"> </w:t>
      </w:r>
      <w:r>
        <w:rPr>
          <w:iCs/>
          <w:i/>
        </w:rPr>
        <w:t xml:space="preserve">Janson</w:t>
      </w:r>
      <w:r>
        <w:t xml:space="preserve">): general analysis and blank templates are information, while answering a visitor’s specific question is practice.</w:t>
      </w:r>
    </w:p>
    <w:p>
      <w:pPr>
        <w:pStyle w:val="Compact"/>
        <w:numPr>
          <w:ilvl w:val="0"/>
          <w:numId w:val="1001"/>
        </w:numPr>
      </w:pPr>
      <w:r>
        <w:t xml:space="preserve">Never invite classified information; point visitors to lawful channels (</w:t>
      </w:r>
      <w:hyperlink r:id="rId21">
        <w:r>
          <w:rPr>
            <w:rStyle w:val="Hyperlink"/>
          </w:rPr>
          <w:t xml:space="preserve">Form G2-1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Live solicitation of whistleblowers for pecuniary gain is barred (rule 7.3).</w:t>
      </w:r>
    </w:p>
    <w:p>
      <w:r>
        <w:pict>
          <v:rect style="width:0;height:1.5pt" o:hralign="center" o:hrstd="t" o:hr="t"/>
        </w:pict>
      </w:r>
    </w:p>
    <w:bookmarkEnd w:id="22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rPr>
          <w:bCs/>
          <w:b/>
        </w:rPr>
        <w:t xml:space="preserve">Part A: a lawyer’s practice or website.</w:t>
      </w:r>
      <w:r>
        <w:t xml:space="preserve"> </w:t>
      </w:r>
      <w:r>
        <w:t xml:space="preserve">A practitioner-focused legal site operated by a lawyer is likely</w:t>
      </w:r>
      <w:r>
        <w:t xml:space="preserve"> </w:t>
      </w:r>
      <w:r>
        <w:t xml:space="preserve">“</w:t>
      </w:r>
      <w:r>
        <w:t xml:space="preserve">communication concerning a lawyer’s services</w:t>
      </w:r>
      <w:r>
        <w:t xml:space="preserve">”</w:t>
      </w:r>
      <w:r>
        <w:t xml:space="preserve"> </w:t>
      </w:r>
      <w:r>
        <w:t xml:space="preserve">subject to advertising rules if it promotes the lawyer’s availability, and creates prospective-client duties if</w:t>
      </w:r>
      <w:r>
        <w:t xml:space="preserve"> </w:t>
      </w:r>
      <w:r>
        <w:t xml:space="preserve">it invites inquiries. It must also avoid giving individualized legal advice to people in jurisdictions where the</w:t>
      </w:r>
      <w:r>
        <w:t xml:space="preserve"> </w:t>
      </w:r>
      <w:r>
        <w:t xml:space="preserve">lawyer is not admitted.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Advertising</w:t>
      </w:r>
      <w:r>
        <w:t xml:space="preserve"> </w:t>
      </w:r>
      <w:r>
        <w:t xml:space="preserve">(ABA Model Rules 7.1-7.3, as adopted by the lawyer’s state): no false or misleading</w:t>
      </w:r>
      <w:r>
        <w:t xml:space="preserve"> </w:t>
      </w:r>
      <w:r>
        <w:t xml:space="preserve">communications; required identification of a responsible lawyer; state-specific disclaimers and filing</w:t>
      </w:r>
      <w:r>
        <w:t xml:space="preserve"> </w:t>
      </w:r>
      <w:r>
        <w:t xml:space="preserve">requirements; no solicitation of specific persons by live contact. Educational content that does not promote</w:t>
      </w:r>
      <w:r>
        <w:t xml:space="preserve"> </w:t>
      </w:r>
      <w:r>
        <w:t xml:space="preserve">the lawyer’s services is generally not advertising, but a</w:t>
      </w:r>
      <w:r>
        <w:t xml:space="preserve"> </w:t>
      </w:r>
      <w:r>
        <w:t xml:space="preserve">“</w:t>
      </w:r>
      <w:r>
        <w:t xml:space="preserve">contact us</w:t>
      </w:r>
      <w:r>
        <w:t xml:space="preserve">”</w:t>
      </w:r>
      <w:r>
        <w:t xml:space="preserve"> </w:t>
      </w:r>
      <w:r>
        <w:t xml:space="preserve">or consultation offer can bring the site</w:t>
      </w:r>
      <w:r>
        <w:t xml:space="preserve"> </w:t>
      </w:r>
      <w:r>
        <w:t xml:space="preserve">within the rules.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Prospective clients</w:t>
      </w:r>
      <w:r>
        <w:t xml:space="preserve"> </w:t>
      </w:r>
      <w:r>
        <w:t xml:space="preserve">(Model Rule 1.18): information received from a person who consults about the possibility</w:t>
      </w:r>
      <w:r>
        <w:t xml:space="preserve"> </w:t>
      </w:r>
      <w:r>
        <w:t xml:space="preserve">of a client-lawyer relationship is confidential and can create conflicts. ABA Formal Opinion 10-457 (2010)</w:t>
      </w:r>
      <w:r>
        <w:t xml:space="preserve"> </w:t>
      </w:r>
      <w:r>
        <w:t xml:space="preserve">advises that lawyer websites inviting submissions should include clear warnings that sending information does</w:t>
      </w:r>
      <w:r>
        <w:t xml:space="preserve"> </w:t>
      </w:r>
      <w:r>
        <w:t xml:space="preserve">not create a lawyer-client relationship and may not be confidential, or else treat submissions as prospective-</w:t>
      </w:r>
      <w:r>
        <w:t xml:space="preserve"> </w:t>
      </w:r>
      <w:r>
        <w:t xml:space="preserve">client communications.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Unauthorized practice</w:t>
      </w:r>
      <w:r>
        <w:t xml:space="preserve"> </w:t>
      </w:r>
      <w:r>
        <w:t xml:space="preserve">(Model Rule 5.5): general legal information is not practice; individualized advice to a</w:t>
      </w:r>
      <w:r>
        <w:t xml:space="preserve"> </w:t>
      </w:r>
      <w:r>
        <w:t xml:space="preserve">person in another jurisdiction may be. Model forms should be presented as templates requiring adaptation by a</w:t>
      </w:r>
      <w:r>
        <w:t xml:space="preserve"> </w:t>
      </w:r>
      <w:r>
        <w:t xml:space="preserve">licensed attorney.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Whistleblower-specific risk.</w:t>
      </w:r>
      <w:r>
        <w:t xml:space="preserve"> </w:t>
      </w:r>
      <w:r>
        <w:t xml:space="preserve">The site must never invite submission of classified information. Contact forms</w:t>
      </w:r>
      <w:r>
        <w:t xml:space="preserve"> </w:t>
      </w:r>
      <w:r>
        <w:t xml:space="preserve">should warn users not to send classified or controlled information and direct them to authorized channels (50</w:t>
      </w:r>
      <w:r>
        <w:t xml:space="preserve"> </w:t>
      </w:r>
      <w:r>
        <w:t xml:space="preserve">U.S.C. §3373b; IG hotlines). Receipt of classified information could create exposure for the operator (Issues B4,</w:t>
      </w:r>
      <w:r>
        <w:t xml:space="preserve"> </w:t>
      </w:r>
      <w:r>
        <w:t xml:space="preserve">C4).</w:t>
      </w:r>
    </w:p>
    <w:bookmarkEnd w:id="23"/>
    <w:bookmarkStart w:id="24" w:name="X8043f5a7280fa3ac5ff61550a303aa1c7ee749d"/>
    <w:p>
      <w:pPr>
        <w:pStyle w:val="Heading2"/>
      </w:pPr>
      <w:r>
        <w:t xml:space="preserve">1A. Part B: a publisher that is not a law firm</w:t>
      </w:r>
    </w:p>
    <w:p>
      <w:pPr>
        <w:pStyle w:val="FirstParagraph"/>
      </w:pPr>
      <w:r>
        <w:t xml:space="preserve">This site is published by the</w:t>
      </w:r>
      <w:r>
        <w:t xml:space="preserve"> </w:t>
      </w:r>
      <w:hyperlink r:id="rId20">
        <w:r>
          <w:rPr>
            <w:rStyle w:val="Hyperlink"/>
          </w:rPr>
          <w:t xml:space="preserve">Emergent Frontiers Institute</w:t>
        </w:r>
      </w:hyperlink>
      <w:r>
        <w:t xml:space="preserve"> </w:t>
      </w:r>
      <w:r>
        <w:t xml:space="preserve">as legal information and a practitioner community. It</w:t>
      </w:r>
      <w:r>
        <w:t xml:space="preserve"> </w:t>
      </w:r>
      <w:r>
        <w:t xml:space="preserve">names no lawyer and offers no legal services. A publisher in that position is not subject to the advertising rules</w:t>
      </w:r>
      <w:r>
        <w:t xml:space="preserve"> </w:t>
      </w:r>
      <w:r>
        <w:t xml:space="preserve">for lawyers, but it must stay on the information side of the line drawn by the unauthorized practice statutes. In</w:t>
      </w:r>
      <w:r>
        <w:t xml:space="preserve"> </w:t>
      </w:r>
      <w:r>
        <w:t xml:space="preserve">California no one may</w:t>
      </w:r>
      <w:r>
        <w:t xml:space="preserve"> </w:t>
      </w:r>
      <w:r>
        <w:t xml:space="preserve">“</w:t>
      </w:r>
      <w:r>
        <w:t xml:space="preserve">practice law</w:t>
      </w:r>
      <w:r>
        <w:t xml:space="preserve">”</w:t>
      </w:r>
      <w:r>
        <w:t xml:space="preserve"> </w:t>
      </w:r>
      <w:r>
        <w:t xml:space="preserve">unless an active licensee of the State Bar (Bus. &amp; Prof. Code §6125), and</w:t>
      </w:r>
      <w:r>
        <w:t xml:space="preserve"> </w:t>
      </w:r>
      <w:r>
        <w:t xml:space="preserve">holding oneself out as entitled to practice is separately prohibited (§6126).</w:t>
      </w:r>
    </w:p>
    <w:p>
      <w:pPr>
        <w:pStyle w:val="BodyText"/>
      </w:pPr>
      <w:r>
        <w:t xml:space="preserve">The cases on self-help legal products mark the line. A federal court held that Quicken Family Lawyer software, which</w:t>
      </w:r>
      <w:r>
        <w:t xml:space="preserve"> </w:t>
      </w:r>
      <w:r>
        <w:t xml:space="preserve">generated legal forms, was the unauthorized practice of law under Texas’s statute; the Texas Legislature then</w:t>
      </w:r>
      <w:r>
        <w:t xml:space="preserve"> </w:t>
      </w:r>
      <w:r>
        <w:t xml:space="preserve">amended the statute to exclude books, websites, and software that clearly state they are not a substitute for a</w:t>
      </w:r>
      <w:r>
        <w:t xml:space="preserve"> </w:t>
      </w:r>
      <w:r>
        <w:t xml:space="preserve">lawyer (Tex. Gov’t Code §81.101(c)), and the Fifth Circuit vacated the injunction.</w:t>
      </w:r>
      <w:r>
        <w:t xml:space="preserve"> </w:t>
      </w:r>
      <w:r>
        <w:rPr>
          <w:iCs/>
          <w:i/>
        </w:rPr>
        <w:t xml:space="preserve">Unauthorized Practice of Law</w:t>
      </w:r>
      <w:r>
        <w:rPr>
          <w:iCs/>
          <w:i/>
        </w:rPr>
        <w:t xml:space="preserve"> </w:t>
      </w:r>
      <w:r>
        <w:rPr>
          <w:iCs/>
          <w:i/>
        </w:rPr>
        <w:t xml:space="preserve">Committee v. Parsons Technology, Inc.</w:t>
      </w:r>
      <w:r>
        <w:t xml:space="preserve">, 179 F.3d 956 (5th Cir. 1999). A Missouri federal court held that LegalZoom’s</w:t>
      </w:r>
      <w:r>
        <w:t xml:space="preserve"> </w:t>
      </w:r>
      <w:r>
        <w:t xml:space="preserve">online document service crossed the line because the company’s software and staff prepared documents from customer</w:t>
      </w:r>
      <w:r>
        <w:t xml:space="preserve"> </w:t>
      </w:r>
      <w:r>
        <w:t xml:space="preserve">answers.</w:t>
      </w:r>
      <w:r>
        <w:t xml:space="preserve"> </w:t>
      </w:r>
      <w:r>
        <w:rPr>
          <w:iCs/>
          <w:i/>
        </w:rPr>
        <w:t xml:space="preserve">Janson v. LegalZoom.com, Inc.</w:t>
      </w:r>
      <w:r>
        <w:t xml:space="preserve">, 802 F. Supp. 2d 1053 (W.D. Mo. 2011). Publishing general analyses and</w:t>
      </w:r>
      <w:r>
        <w:t xml:space="preserve"> </w:t>
      </w:r>
      <w:r>
        <w:t xml:space="preserve">blank templates for lawyers, with clear notices, is on the information side; answering a visitor’s particular</w:t>
      </w:r>
      <w:r>
        <w:t xml:space="preserve"> </w:t>
      </w:r>
      <w:r>
        <w:t xml:space="preserve">question, or filling in a form for a visitor’s matter, is not.</w:t>
      </w:r>
    </w:p>
    <w:p>
      <w:pPr>
        <w:pStyle w:val="BodyText"/>
      </w:pPr>
      <w:r>
        <w:rPr>
          <w:bCs/>
          <w:b/>
        </w:rPr>
        <w:t xml:space="preserve">Practices for a non-lawyer publisher:</w:t>
      </w:r>
      <w:r>
        <w:t xml:space="preserve"> </w:t>
      </w:r>
      <w:r>
        <w:t xml:space="preserve">state on every page that the publisher is not a law firm and offers no</w:t>
      </w:r>
      <w:r>
        <w:t xml:space="preserve"> </w:t>
      </w:r>
      <w:r>
        <w:t xml:space="preserve">legal services; keep the contact form for site and community questions only and say so; never review or complete a</w:t>
      </w:r>
      <w:r>
        <w:t xml:space="preserve"> </w:t>
      </w:r>
      <w:r>
        <w:t xml:space="preserve">visitor’s documents; and moderate forum posts that ask for individual legal advice by pointing the poster to a</w:t>
      </w:r>
      <w:r>
        <w:t xml:space="preserve"> </w:t>
      </w:r>
      <w:r>
        <w:t xml:space="preserve">lawyer.</w:t>
      </w:r>
    </w:p>
    <w:bookmarkEnd w:id="24"/>
    <w:bookmarkStart w:id="25" w:name="Xe873f7ea4ca15ee0d29abc8510cd2a27a2e2390"/>
    <w:p>
      <w:pPr>
        <w:pStyle w:val="Heading2"/>
      </w:pPr>
      <w:r>
        <w:t xml:space="preserve">1B. Solicitation of whistleblowers and drafting tools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Solicitation.</w:t>
      </w:r>
      <w:r>
        <w:t xml:space="preserve"> </w:t>
      </w:r>
      <w:r>
        <w:t xml:space="preserve">A lawyer may not solicit professional employment by live person-to-person contact when a</w:t>
      </w:r>
      <w:r>
        <w:t xml:space="preserve"> </w:t>
      </w:r>
      <w:r>
        <w:t xml:space="preserve">significant motive is pecuniary gain (Cal. Rules Prof. Conduct, rule 7.3). Approaching potential UAP</w:t>
      </w:r>
      <w:r>
        <w:t xml:space="preserve"> </w:t>
      </w:r>
      <w:r>
        <w:t xml:space="preserve">whistleblowers at events or through direct messages to offer representation is within the rule; publishing</w:t>
      </w:r>
      <w:r>
        <w:t xml:space="preserve"> </w:t>
      </w:r>
      <w:r>
        <w:t xml:space="preserve">general material that leads them to call is not.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Referral fees.</w:t>
      </w:r>
      <w:r>
        <w:t xml:space="preserve"> </w:t>
      </w:r>
      <w:r>
        <w:t xml:space="preserve">Fee-sharing with another lawyer requires the client’s written consent and other conditions</w:t>
      </w:r>
      <w:r>
        <w:t xml:space="preserve"> </w:t>
      </w:r>
      <w:r>
        <w:t xml:space="preserve">(rule 1.5.1); paying a non-lawyer for referrals is forbidden (rule 5.4).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AI-assisted drafting.</w:t>
      </w:r>
      <w:r>
        <w:t xml:space="preserve"> </w:t>
      </w:r>
      <w:r>
        <w:t xml:space="preserve">The State Bar’s practical guidance on generative AI (2023) says lawyers must protect</w:t>
      </w:r>
      <w:r>
        <w:t xml:space="preserve"> </w:t>
      </w:r>
      <w:r>
        <w:t xml:space="preserve">client confidences when using such tools, check their output, and consider telling clients when they are used. A</w:t>
      </w:r>
      <w:r>
        <w:t xml:space="preserve"> </w:t>
      </w:r>
      <w:r>
        <w:t xml:space="preserve">lawyer who adapts a template from a site like this one should check every citation, as the forms say.</w:t>
      </w:r>
    </w:p>
    <w:bookmarkEnd w:id="25"/>
    <w:bookmarkStart w:id="26" w:name="X7106775b3c199217ac4c1f332c99ceb714af4d5"/>
    <w:p>
      <w:pPr>
        <w:pStyle w:val="Heading2"/>
      </w:pPr>
      <w:r>
        <w:t xml:space="preserve">2. Recommended site features (Part A: lawyer-operated sites)</w:t>
      </w:r>
    </w:p>
    <w:p>
      <w:pPr>
        <w:pStyle w:val="Compact"/>
        <w:numPr>
          <w:ilvl w:val="0"/>
          <w:numId w:val="1004"/>
        </w:numPr>
      </w:pPr>
      <w:r>
        <w:t xml:space="preserve">Footer and form disclaimers:</w:t>
      </w:r>
      <w:r>
        <w:t xml:space="preserve"> </w:t>
      </w:r>
      <w:r>
        <w:t xml:space="preserve">“</w:t>
      </w:r>
      <w:r>
        <w:t xml:space="preserve">Information on this site is general information, not legal advice. Contacting</w:t>
      </w:r>
      <w:r>
        <w:t xml:space="preserve"> </w:t>
      </w:r>
      <w:r>
        <w:t xml:space="preserve">us does not create an attorney-client relationship. Do not send confidential or classified information.</w:t>
      </w:r>
      <w:r>
        <w:t xml:space="preserve">”</w:t>
      </w:r>
    </w:p>
    <w:p>
      <w:pPr>
        <w:pStyle w:val="Compact"/>
        <w:numPr>
          <w:ilvl w:val="0"/>
          <w:numId w:val="1004"/>
        </w:numPr>
      </w:pPr>
      <w:r>
        <w:t xml:space="preserve">Identify the responsible lawyer and jurisdictions of admission.</w:t>
      </w:r>
    </w:p>
    <w:p>
      <w:pPr>
        <w:pStyle w:val="Compact"/>
        <w:numPr>
          <w:ilvl w:val="0"/>
          <w:numId w:val="1004"/>
        </w:numPr>
      </w:pPr>
      <w:r>
        <w:t xml:space="preserve">Label all forms</w:t>
      </w:r>
      <w:r>
        <w:t xml:space="preserve"> </w:t>
      </w:r>
      <w:r>
        <w:t xml:space="preserve">“</w:t>
      </w:r>
      <w:r>
        <w:t xml:space="preserve">sample templates for use by or with licensed counsel.</w:t>
      </w:r>
      <w:r>
        <w:t xml:space="preserve">”</w:t>
      </w:r>
    </w:p>
    <w:p>
      <w:pPr>
        <w:pStyle w:val="Compact"/>
        <w:numPr>
          <w:ilvl w:val="0"/>
          <w:numId w:val="1004"/>
        </w:numPr>
      </w:pPr>
      <w:r>
        <w:t xml:space="preserve">A dedicated notice on classified information and authorized disclosure channels.</w:t>
      </w:r>
    </w:p>
    <w:p>
      <w:pPr>
        <w:pStyle w:val="Compact"/>
        <w:numPr>
          <w:ilvl w:val="0"/>
          <w:numId w:val="1004"/>
        </w:numPr>
      </w:pPr>
      <w:r>
        <w:t xml:space="preserve">Comply with the admitting state’s advertising filing and retention requirements.</w:t>
      </w:r>
    </w:p>
    <w:p>
      <w:pPr>
        <w:pStyle w:val="Compact"/>
        <w:numPr>
          <w:ilvl w:val="0"/>
          <w:numId w:val="1004"/>
        </w:numPr>
      </w:pPr>
      <w:r>
        <w:t xml:space="preserve">Privacy policy for any submissions.</w:t>
      </w:r>
    </w:p>
    <w:bookmarkEnd w:id="26"/>
    <w:bookmarkStart w:id="27" w:name="california-rules"/>
    <w:p>
      <w:pPr>
        <w:pStyle w:val="Heading2"/>
      </w:pPr>
      <w:r>
        <w:t xml:space="preserve">3. California rules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Advertising and communications</w:t>
      </w:r>
      <w:r>
        <w:t xml:space="preserve">: California Rules of Professional Conduct 7.1 (false or misleading</w:t>
      </w:r>
      <w:r>
        <w:t xml:space="preserve"> </w:t>
      </w:r>
      <w:r>
        <w:t xml:space="preserve">communications), 7.2 (advertising; must include the name and address of at least one responsible lawyer or firm),</w:t>
      </w:r>
      <w:r>
        <w:t xml:space="preserve"> </w:t>
      </w:r>
      <w:r>
        <w:t xml:space="preserve">7.3 (solicitation), 7.4 (fields of practice and specialization; no claim of certified specialist status unless</w:t>
      </w:r>
      <w:r>
        <w:t xml:space="preserve"> </w:t>
      </w:r>
      <w:r>
        <w:t xml:space="preserve">certified), and 7.5 (firm names). Business and Professions Code §§6157-6159.2 (Article 9.5, Legal Advertising)</w:t>
      </w:r>
      <w:r>
        <w:t xml:space="preserve"> </w:t>
      </w:r>
      <w:r>
        <w:t xml:space="preserve">also apply. Section 6159.1 requires the person who pays for an advertisement soliciting legal employment to</w:t>
      </w:r>
      <w:r>
        <w:t xml:space="preserve"> </w:t>
      </w:r>
      <w:r>
        <w:t xml:space="preserve">retain</w:t>
      </w:r>
      <w:r>
        <w:t xml:space="preserve"> </w:t>
      </w:r>
      <w:r>
        <w:t xml:space="preserve">“</w:t>
      </w:r>
      <w:r>
        <w:t xml:space="preserve">[a] true and correct copy</w:t>
      </w:r>
      <w:r>
        <w:t xml:space="preserve">”</w:t>
      </w:r>
      <w:r>
        <w:t xml:space="preserve"> </w:t>
      </w:r>
      <w:r>
        <w:t xml:space="preserve">for one year. Section 6157.2 (as amended effective January 1, 2026) bars</w:t>
      </w:r>
      <w:r>
        <w:t xml:space="preserve"> </w:t>
      </w:r>
      <w:r>
        <w:t xml:space="preserve">guarantees of outcome,</w:t>
      </w:r>
      <w:r>
        <w:t xml:space="preserve"> </w:t>
      </w:r>
      <w:r>
        <w:t xml:space="preserve">“</w:t>
      </w:r>
      <w:r>
        <w:t xml:space="preserve">[m]isleading, deceptive, or false statements</w:t>
      </w:r>
      <w:r>
        <w:t xml:space="preserve">”</w:t>
      </w:r>
      <w:r>
        <w:t xml:space="preserve"> </w:t>
      </w:r>
      <w:r>
        <w:t xml:space="preserve">about a lawyer’s skills, experience,</w:t>
      </w:r>
      <w:r>
        <w:t xml:space="preserve"> </w:t>
      </w:r>
      <w:r>
        <w:t xml:space="preserve">or record, undisclosed dramatizations and spokespersons, and references to awards that are conferred by</w:t>
      </w:r>
      <w:r>
        <w:t xml:space="preserve"> </w:t>
      </w:r>
      <w:r>
        <w:t xml:space="preserve">membership or for a fee (§6157.2(a)), and requires each advertisement to name at least one responsible</w:t>
      </w:r>
      <w:r>
        <w:t xml:space="preserve"> </w:t>
      </w:r>
      <w:r>
        <w:t xml:space="preserve">California lawyer or firm and the city, town, or county of at least one bona fide office or the State Bar</w:t>
      </w:r>
      <w:r>
        <w:t xml:space="preserve"> </w:t>
      </w:r>
      <w:r>
        <w:t xml:space="preserve">address of record (§6157.2(b)). A site page that</w:t>
      </w:r>
      <w:r>
        <w:t xml:space="preserve"> </w:t>
      </w:r>
      <w:r>
        <w:t xml:space="preserve">solicits clients for UAP-related matters should carry the §6157.2(b) disclosures in its footer, and the</w:t>
      </w:r>
      <w:r>
        <w:t xml:space="preserve"> </w:t>
      </w:r>
      <w:r>
        <w:t xml:space="preserve">firm should keep a dated archive of each version of the page to satisfy §6159.1.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Websites</w:t>
      </w:r>
      <w:r>
        <w:t xml:space="preserve">: State Bar of California Formal Opinion No. 2001-155 treats a lawyer website as a</w:t>
      </w:r>
      <w:r>
        <w:t xml:space="preserve"> </w:t>
      </w:r>
      <w:r>
        <w:t xml:space="preserve">“</w:t>
      </w:r>
      <w:r>
        <w:t xml:space="preserve">communication</w:t>
      </w:r>
      <w:r>
        <w:t xml:space="preserve">”</w:t>
      </w:r>
      <w:r>
        <w:t xml:space="preserve"> </w:t>
      </w:r>
      <w:r>
        <w:t xml:space="preserve">under former rule 1-400 (now rules 7.1-7.5) and as an</w:t>
      </w:r>
      <w:r>
        <w:t xml:space="preserve"> </w:t>
      </w:r>
      <w:r>
        <w:t xml:space="preserve">“</w:t>
      </w:r>
      <w:r>
        <w:t xml:space="preserve">advertisement</w:t>
      </w:r>
      <w:r>
        <w:t xml:space="preserve">”</w:t>
      </w:r>
      <w:r>
        <w:t xml:space="preserve"> </w:t>
      </w:r>
      <w:r>
        <w:t xml:space="preserve">under Business and Professions Code</w:t>
      </w:r>
      <w:r>
        <w:t xml:space="preserve"> </w:t>
      </w:r>
      <w:r>
        <w:t xml:space="preserve">§§6157-6158.3; a website is not a</w:t>
      </w:r>
      <w:r>
        <w:t xml:space="preserve"> </w:t>
      </w:r>
      <w:r>
        <w:t xml:space="preserve">“</w:t>
      </w:r>
      <w:r>
        <w:t xml:space="preserve">solicitation</w:t>
      </w:r>
      <w:r>
        <w:t xml:space="preserve">”</w:t>
      </w:r>
      <w:r>
        <w:t xml:space="preserve"> </w:t>
      </w:r>
      <w:r>
        <w:t xml:space="preserve">merely because it allows e-mail contact. Formal Opinion No.</w:t>
      </w:r>
      <w:r>
        <w:t xml:space="preserve"> </w:t>
      </w:r>
      <w:r>
        <w:t xml:space="preserve">2005-168 addresses web intake forms: a bare disclaimer that no attorney-client or</w:t>
      </w:r>
      <w:r>
        <w:t xml:space="preserve"> </w:t>
      </w:r>
      <w:r>
        <w:t xml:space="preserve">“</w:t>
      </w:r>
      <w:r>
        <w:t xml:space="preserve">confidential relationship</w:t>
      </w:r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formed does not defeat a visitor’s reasonable belief that the submission is confidential; the lawyer avoids a</w:t>
      </w:r>
      <w:r>
        <w:t xml:space="preserve"> </w:t>
      </w:r>
      <w:r>
        <w:t xml:space="preserve">confidentiality duty to visitors only if the site states, in sufficiently plain language before submission, that</w:t>
      </w:r>
      <w:r>
        <w:t xml:space="preserve"> </w:t>
      </w:r>
      <w:r>
        <w:t xml:space="preserve">information submitted will not be confidential (or limits intake to conflict-check information). Both opinions</w:t>
      </w:r>
      <w:r>
        <w:t xml:space="preserve"> </w:t>
      </w:r>
      <w:r>
        <w:t xml:space="preserve">predate the 2018 rules and Rule 1.18 and are advisory; confirm continued application. Sources: State Bar ethics</w:t>
      </w:r>
      <w:r>
        <w:t xml:space="preserve"> </w:t>
      </w:r>
      <w:r>
        <w:t xml:space="preserve">opinion index (https://www.calbar.ca.gov/cal-1998-152-cal-2008-175); State Bar,</w:t>
      </w:r>
      <w:r>
        <w:t xml:space="preserve"> </w:t>
      </w:r>
      <w:r>
        <w:t xml:space="preserve">“</w:t>
      </w:r>
      <w:r>
        <w:t xml:space="preserve">Ethics Opinions on Internet and</w:t>
      </w:r>
      <w:r>
        <w:t xml:space="preserve"> </w:t>
      </w:r>
      <w:r>
        <w:t xml:space="preserve">Technology</w:t>
      </w:r>
      <w:r>
        <w:t xml:space="preserve">”</w:t>
      </w:r>
      <w:r>
        <w:t xml:space="preserve"> </w:t>
      </w:r>
      <w:r>
        <w:t xml:space="preserve">(Dec. 2011).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Prospective clients</w:t>
      </w:r>
      <w:r>
        <w:t xml:space="preserve">: Rule 1.18; Business and Professions Code §6068(e) (duty to maintain inviolate the</w:t>
      </w:r>
      <w:r>
        <w:t xml:space="preserve"> </w:t>
      </w:r>
      <w:r>
        <w:t xml:space="preserve">confidences of clients).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Unauthorized practice</w:t>
      </w:r>
      <w:r>
        <w:t xml:space="preserve">: Business and Professions Code §6125; Rule 5.5 (multijurisdictional practice).</w:t>
      </w:r>
      <w:r>
        <w:t xml:space="preserve"> </w:t>
      </w:r>
      <w:r>
        <w:t xml:space="preserve">Visitors outside California should be told the site provides general information and that the lawyer is</w:t>
      </w:r>
      <w:r>
        <w:t xml:space="preserve"> </w:t>
      </w:r>
      <w:r>
        <w:t xml:space="preserve">admitted only in California [and any other jurisdictions].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Specialization</w:t>
      </w:r>
      <w:r>
        <w:t xml:space="preserve">: do not describe the lawyer as a</w:t>
      </w:r>
      <w:r>
        <w:t xml:space="preserve"> </w:t>
      </w:r>
      <w:r>
        <w:t xml:space="preserve">“</w:t>
      </w:r>
      <w:r>
        <w:t xml:space="preserve">specialist</w:t>
      </w:r>
      <w:r>
        <w:t xml:space="preserve">”</w:t>
      </w:r>
      <w:r>
        <w:t xml:space="preserve"> </w:t>
      </w:r>
      <w:r>
        <w:t xml:space="preserve">in national security, space, or UAP law (Rule 7.4).</w:t>
      </w:r>
    </w:p>
    <w:bookmarkEnd w:id="27"/>
    <w:bookmarkStart w:id="28" w:name="Xf0fe327c0594c513b38438960836a1f8b274f37"/>
    <w:p>
      <w:pPr>
        <w:pStyle w:val="Heading2"/>
      </w:pPr>
      <w:r>
        <w:t xml:space="preserve">4. Recommended California-specific site language</w:t>
      </w:r>
    </w:p>
    <w:p>
      <w:pPr>
        <w:pStyle w:val="Compact"/>
        <w:numPr>
          <w:ilvl w:val="0"/>
          <w:numId w:val="1006"/>
        </w:numPr>
      </w:pPr>
      <w:r>
        <w:t xml:space="preserve">Footer:</w:t>
      </w:r>
      <w:r>
        <w:t xml:space="preserve"> </w:t>
      </w:r>
      <w:r>
        <w:t xml:space="preserve">“</w:t>
      </w:r>
      <w:r>
        <w:t xml:space="preserve">[Name], attorney at law, [address]. Admitted in California. Information on this site is general</w:t>
      </w:r>
      <w:r>
        <w:t xml:space="preserve"> </w:t>
      </w:r>
      <w:r>
        <w:t xml:space="preserve">information, not legal advice, and does not create an attorney-client relationship.</w:t>
      </w:r>
      <w:r>
        <w:t xml:space="preserve">”</w:t>
      </w:r>
    </w:p>
    <w:p>
      <w:pPr>
        <w:pStyle w:val="Compact"/>
        <w:numPr>
          <w:ilvl w:val="0"/>
          <w:numId w:val="1006"/>
        </w:numPr>
      </w:pPr>
      <w:r>
        <w:t xml:space="preserve">Contact form, before the submit button, with a required checkbox (drafted to meet Formal Opinion 2005-168’s</w:t>
      </w:r>
      <w:r>
        <w:t xml:space="preserve"> </w:t>
      </w:r>
      <w:r>
        <w:t xml:space="preserve">plain-language requirement):</w:t>
      </w:r>
      <w:r>
        <w:t xml:space="preserve"> </w:t>
      </w:r>
      <w:r>
        <w:t xml:space="preserve">“</w:t>
      </w:r>
      <w:r>
        <w:t xml:space="preserve">Information you submit through this form will NOT be confidential and will not</w:t>
      </w:r>
      <w:r>
        <w:t xml:space="preserve"> </w:t>
      </w:r>
      <w:r>
        <w:t xml:space="preserve">create an attorney-client relationship. Do not include any confidential details of your situation; describe</w:t>
      </w:r>
      <w:r>
        <w:t xml:space="preserve"> </w:t>
      </w:r>
      <w:r>
        <w:t xml:space="preserve">only your name, contact information, and the names of other people or companies involved so we can check for</w:t>
      </w:r>
      <w:r>
        <w:t xml:space="preserve"> </w:t>
      </w:r>
      <w:r>
        <w:t xml:space="preserve">conflicts. Never send classified, export-controlled, or other protected information.</w:t>
      </w:r>
      <w:r>
        <w:t xml:space="preserve">”</w:t>
      </w:r>
    </w:p>
    <w:p>
      <w:pPr>
        <w:pStyle w:val="Compact"/>
        <w:numPr>
          <w:ilvl w:val="0"/>
          <w:numId w:val="1006"/>
        </w:numPr>
      </w:pPr>
      <w:r>
        <w:t xml:space="preserve">Forms pages:</w:t>
      </w:r>
      <w:r>
        <w:t xml:space="preserve"> </w:t>
      </w:r>
      <w:r>
        <w:t xml:space="preserve">“</w:t>
      </w:r>
      <w:r>
        <w:t xml:space="preserve">Sample templates for use by or with licensed counsel; not legal advice; adapt to your jurisdiction.</w:t>
      </w:r>
      <w:r>
        <w:t xml:space="preserve">”</w:t>
      </w:r>
    </w:p>
    <w:p>
      <w:pPr>
        <w:pStyle w:val="Compact"/>
        <w:numPr>
          <w:ilvl w:val="0"/>
          <w:numId w:val="1006"/>
        </w:numPr>
      </w:pPr>
      <w:r>
        <w:t xml:space="preserve">Retain copies of the site’s advertising content as required by Business and Professions Code §6159.1.</w:t>
      </w:r>
    </w:p>
    <w:bookmarkEnd w:id="28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Running a UAP Practice or Legal-Information Site: Advertising, Prospective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g2-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g2-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a UAP Practice or Legal-Information Site: Advertising, Prospective Clients, and Unauthorized Practice</dc:title>
  <dc:creator>nhilaw.com</dc:creator>
  <cp:keywords/>
  <dcterms:created xsi:type="dcterms:W3CDTF">2026-10-19T03:16:17Z</dcterms:created>
  <dcterms:modified xsi:type="dcterms:W3CDTF">2026-10-19T03:16:17Z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nhilaw.com/issues/g2.html</vt:lpwstr>
  </property>
</Properties>
</file>