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If NHI Abduct and Injure People: Criminal Law, Government Duties, Compensation, and Proof</w:t>
      </w:r>
    </w:p>
    <w:p>
      <w:pPr>
        <w:pStyle w:val="Subtitle"/>
      </w:pPr>
      <w:r>
        <w:t xml:space="preserve">Version 1.10 · October 2026 · nhilaw.com/issues/h1.html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Assume that nonhuman intelligences take people without consent, hold and examine them, sometimes</w:t>
      </w:r>
      <w:r>
        <w:t xml:space="preserve"> </w:t>
      </w:r>
      <w:r>
        <w:t xml:space="preserve">injure them, and return them. Assume further either that the government knows of the pattern and conceals it, or</w:t>
      </w:r>
      <w:r>
        <w:t xml:space="preserve"> </w:t>
      </w:r>
      <w:r>
        <w:t xml:space="preserve">that it knows no more than the public. What law can respond to the taking, to the government’s knowledge or</w:t>
      </w:r>
      <w:r>
        <w:t xml:space="preserve"> </w:t>
      </w:r>
      <w:r>
        <w:t xml:space="preserve">silence, and to the needs of the people taken? Where current law has no answer, what would a statute need to</w:t>
      </w:r>
      <w:r>
        <w:t xml:space="preserve"> </w:t>
      </w:r>
      <w:r>
        <w:t xml:space="preserve">contain?</w:t>
      </w:r>
    </w:p>
    <w:p>
      <w:r>
        <w:pict>
          <v:rect style="width:0;height:1.5pt" o:hralign="center" o:hrstd="t" o:hr="t"/>
        </w:pict>
      </w:r>
    </w:p>
    <w:bookmarkStart w:id="23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Kidnapping and assault statutes reach</w:t>
      </w:r>
      <w:r>
        <w:t xml:space="preserve"> </w:t>
      </w:r>
      <w:r>
        <w:t xml:space="preserve">“</w:t>
      </w:r>
      <w:r>
        <w:t xml:space="preserve">whoever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a person</w:t>
      </w:r>
      <w:r>
        <w:t xml:space="preserve">”</w:t>
      </w:r>
      <w:r>
        <w:t xml:space="preserve">; whether an NHI is a person is the</w:t>
      </w:r>
      <w:r>
        <w:t xml:space="preserve"> </w:t>
      </w:r>
      <w:hyperlink r:id="rId21">
        <w:r>
          <w:rPr>
            <w:rStyle w:val="Hyperlink"/>
          </w:rPr>
          <w:t xml:space="preserve">Issue F1</w:t>
        </w:r>
      </w:hyperlink>
      <w:r>
        <w:t xml:space="preserve"> </w:t>
      </w:r>
      <w:r>
        <w:t xml:space="preserve">question, and in any event there is no defendant to arrest or try. Criminal law still matters for the official</w:t>
      </w:r>
      <w:r>
        <w:t xml:space="preserve"> </w:t>
      </w:r>
      <w:r>
        <w:t xml:space="preserve">record, for victim compensation, and for the reporter’s own exposure under false-report statutes, which require</w:t>
      </w:r>
      <w:r>
        <w:t xml:space="preserve"> </w:t>
      </w:r>
      <w:r>
        <w:t xml:space="preserve">knowing falsity.</w:t>
      </w:r>
    </w:p>
    <w:p>
      <w:pPr>
        <w:pStyle w:val="Compact"/>
        <w:numPr>
          <w:ilvl w:val="0"/>
          <w:numId w:val="1001"/>
        </w:numPr>
      </w:pPr>
      <w:r>
        <w:t xml:space="preserve">No reported case treats an abduction by NHI as fact. Courts use</w:t>
      </w:r>
      <w:r>
        <w:t xml:space="preserve"> </w:t>
      </w:r>
      <w:r>
        <w:t xml:space="preserve">“</w:t>
      </w:r>
      <w:r>
        <w:t xml:space="preserve">abducted by aliens</w:t>
      </w:r>
      <w:r>
        <w:t xml:space="preserve">”</w:t>
      </w:r>
      <w:r>
        <w:t xml:space="preserve"> </w:t>
      </w:r>
      <w:r>
        <w:t xml:space="preserve">as their example of the</w:t>
      </w:r>
      <w:r>
        <w:t xml:space="preserve"> </w:t>
      </w:r>
      <w:r>
        <w:t xml:space="preserve">incredible, and abduction statements appear in the case law mainly as evidence of mental illness (</w:t>
      </w:r>
      <w:hyperlink r:id="rId22">
        <w:r>
          <w:rPr>
            <w:rStyle w:val="Hyperlink"/>
          </w:rPr>
          <w:t xml:space="preserve">Issue H4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There is no general constitutional duty to protect against harm by others (</w:t>
      </w:r>
      <w:r>
        <w:rPr>
          <w:iCs/>
          <w:i/>
        </w:rPr>
        <w:t xml:space="preserve">DeShaney</w:t>
      </w:r>
      <w:r>
        <w:t xml:space="preserve">). The state-created danger</w:t>
      </w:r>
      <w:r>
        <w:t xml:space="preserve"> </w:t>
      </w:r>
      <w:r>
        <w:t xml:space="preserve">exception needs an affirmative act, such as an official assurance or cover story that kept specific people in</w:t>
      </w:r>
      <w:r>
        <w:t xml:space="preserve"> </w:t>
      </w:r>
      <w:r>
        <w:t xml:space="preserve">harm’s way.</w:t>
      </w:r>
    </w:p>
    <w:p>
      <w:pPr>
        <w:pStyle w:val="Compact"/>
        <w:numPr>
          <w:ilvl w:val="0"/>
          <w:numId w:val="1001"/>
        </w:numPr>
      </w:pPr>
      <w:r>
        <w:t xml:space="preserve">The Invasion Clause gives no individual remedy, and courts have treated invasion claims as political questions.</w:t>
      </w:r>
      <w:r>
        <w:t xml:space="preserve"> </w:t>
      </w:r>
      <w:r>
        <w:t xml:space="preserve">Courts reading</w:t>
      </w:r>
      <w:r>
        <w:t xml:space="preserve"> </w:t>
      </w:r>
      <w:r>
        <w:t xml:space="preserve">“</w:t>
      </w:r>
      <w:r>
        <w:t xml:space="preserve">invasion</w:t>
      </w:r>
      <w:r>
        <w:t xml:space="preserve">”</w:t>
      </w:r>
      <w:r>
        <w:t xml:space="preserve"> </w:t>
      </w:r>
      <w:r>
        <w:t xml:space="preserve">in the Alien Enemies Act in 2025 required an organized, armed incursion by a foreign</w:t>
      </w:r>
      <w:r>
        <w:t xml:space="preserve"> </w:t>
      </w:r>
      <w:r>
        <w:t xml:space="preserve">power, which describes an organized nonhuman taking of residents better than it describes migration.</w:t>
      </w:r>
    </w:p>
    <w:p>
      <w:pPr>
        <w:pStyle w:val="Compact"/>
        <w:numPr>
          <w:ilvl w:val="0"/>
          <w:numId w:val="1001"/>
        </w:numPr>
      </w:pPr>
      <w:r>
        <w:t xml:space="preserve">Crime victim compensation programs pay when the offender is never identified. The obstacles for an abductee are a</w:t>
      </w:r>
      <w:r>
        <w:t xml:space="preserve"> </w:t>
      </w:r>
      <w:r>
        <w:t xml:space="preserve">police report that is not taken, a finding of non-cooperation, and the question whether conduct by a nonhuman</w:t>
      </w:r>
      <w:r>
        <w:t xml:space="preserve"> </w:t>
      </w:r>
      <w:r>
        <w:t xml:space="preserve">actor is</w:t>
      </w:r>
      <w:r>
        <w:t xml:space="preserve"> </w:t>
      </w:r>
      <w:r>
        <w:t xml:space="preserve">“</w:t>
      </w:r>
      <w:r>
        <w:t xml:space="preserve">criminally injurious conduct.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t xml:space="preserve">Many abduction accounts were recovered under hypnosis. Several states exclude hypnotically refreshed testimony</w:t>
      </w:r>
      <w:r>
        <w:t xml:space="preserve"> </w:t>
      </w:r>
      <w:r>
        <w:t xml:space="preserve">in criminal trials, and pretrial hypnosis of a witness must be disclosed. Record the account before any</w:t>
      </w:r>
      <w:r>
        <w:t xml:space="preserve"> </w:t>
      </w:r>
      <w:r>
        <w:t xml:space="preserve">hypnosis.</w:t>
      </w:r>
    </w:p>
    <w:p>
      <w:pPr>
        <w:pStyle w:val="Compact"/>
        <w:numPr>
          <w:ilvl w:val="0"/>
          <w:numId w:val="1001"/>
        </w:numPr>
      </w:pPr>
      <w:r>
        <w:t xml:space="preserve">A statute modeled on the HAVANA Act could pay for documented injuries without requiring proof of who caused them.</w:t>
      </w:r>
    </w:p>
    <w:p>
      <w:r>
        <w:pict>
          <v:rect style="width:0;height:1.5pt" o:hralign="center" o:hrstd="t" o:hr="t"/>
        </w:pict>
      </w:r>
    </w:p>
    <w:bookmarkEnd w:id="23"/>
    <w:bookmarkStart w:id="24" w:name="summary"/>
    <w:p>
      <w:pPr>
        <w:pStyle w:val="Heading2"/>
      </w:pPr>
      <w:r>
        <w:t xml:space="preserve">1. Summary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obstacle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 available step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 the taker be prosecuted?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U.S.C. §1201; state kidnapping, assault, and sexual-assault statutes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Person</w:t>
            </w:r>
            <w:r>
              <w:t xml:space="preserve">”</w:t>
            </w:r>
            <w:r>
              <w:t xml:space="preserve"> </w:t>
            </w:r>
            <w:r>
              <w:t xml:space="preserve">element (F1); no arrest or trial possible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report to create a record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 the reporter at risk?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False-report statutes (e.g., Cal. Penal Code §148.5; 18 U.S.C. §1001)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 knowing falsity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sincerely and factually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Must the government protect or warn?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DeShaney</w:t>
            </w:r>
            <w:r>
              <w:t xml:space="preserve">; state-created danger; FTCA failure to warn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general duty; discretionary-function exception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Plead affirmative assurances or cover stories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the Invasion Clause apply?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U.S. Const. art. IV, §4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Nonjusticiable; no individual remedy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Advocacy and legislation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 the person be compensated?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victim compensation programs funded under VOCA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report and cooperation; nonhuman offender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Apply; appeal denials; model statute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 the person prove it?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Evidence rules on hypnosis, experts, physical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Hypnosis rules; stigma (H4)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Contemporaneous records; medical documentation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6" w:name="criminal-law"/>
    <w:p>
      <w:pPr>
        <w:pStyle w:val="Heading2"/>
      </w:pPr>
      <w:r>
        <w:t xml:space="preserve">2. Criminal law</w:t>
      </w:r>
    </w:p>
    <w:p>
      <w:pPr>
        <w:pStyle w:val="FirstParagraph"/>
      </w:pPr>
      <w:r>
        <w:rPr>
          <w:bCs/>
          <w:b/>
        </w:rPr>
        <w:t xml:space="preserve">The offense.</w:t>
      </w:r>
      <w:r>
        <w:t xml:space="preserve"> </w:t>
      </w:r>
      <w:r>
        <w:t xml:space="preserve">Federal kidnapping applies to</w:t>
      </w:r>
      <w:r>
        <w:t xml:space="preserve"> </w:t>
      </w:r>
      <w:r>
        <w:t xml:space="preserve">“</w:t>
      </w:r>
      <w:r>
        <w:t xml:space="preserve">[w]hoever unlawfully seizes, confines, inveigles, decoys,</w:t>
      </w:r>
      <w:r>
        <w:t xml:space="preserve"> </w:t>
      </w:r>
      <w:r>
        <w:t xml:space="preserve">kidnaps, abducts, or carries away and holds for ransom or reward or otherwise any person</w:t>
      </w:r>
      <w:r>
        <w:t xml:space="preserve">”</w:t>
      </w:r>
      <w:r>
        <w:t xml:space="preserve"> </w:t>
      </w:r>
      <w:r>
        <w:t xml:space="preserve">in the circumstances the</w:t>
      </w:r>
      <w:r>
        <w:t xml:space="preserve"> </w:t>
      </w:r>
      <w:r>
        <w:t xml:space="preserve">statute lists, including interstate transport and the special maritime and territorial jurisdiction. 18 U.S.C.</w:t>
      </w:r>
      <w:r>
        <w:t xml:space="preserve"> </w:t>
      </w:r>
      <w:r>
        <w:t xml:space="preserve">§1201(a). State kidnapping, unlawful imprisonment, assault, and sexual-assault statutes are framed the same way. The</w:t>
      </w:r>
      <w:r>
        <w:t xml:space="preserve"> </w:t>
      </w:r>
      <w:r>
        <w:t xml:space="preserve">victim is plainly covered. The offender must be a</w:t>
      </w:r>
      <w:r>
        <w:t xml:space="preserve"> </w:t>
      </w:r>
      <w:r>
        <w:t xml:space="preserve">“</w:t>
      </w:r>
      <w:r>
        <w:t xml:space="preserve">whoever</w:t>
      </w:r>
      <w:r>
        <w:t xml:space="preserve">”</w:t>
      </w:r>
      <w:r>
        <w:t xml:space="preserve"> </w:t>
      </w:r>
      <w:r>
        <w:t xml:space="preserve">capable of criminal responsibility, and</w:t>
      </w:r>
      <w:r>
        <w:t xml:space="preserve"> </w:t>
      </w:r>
      <w:hyperlink r:id="rId25">
        <w:r>
          <w:rPr>
            <w:rStyle w:val="Hyperlink"/>
          </w:rPr>
          <w:t xml:space="preserve">Issue F2</w:t>
        </w:r>
      </w:hyperlink>
      <w:r>
        <w:t xml:space="preserve"> </w:t>
      </w:r>
      <w:r>
        <w:t xml:space="preserve">discusses how homicide, torture, and war crimes statutes define their subjects. Even if an NHI were held to be a</w:t>
      </w:r>
      <w:r>
        <w:t xml:space="preserve"> </w:t>
      </w:r>
      <w:r>
        <w:t xml:space="preserve">person, no court could obtain jurisdiction over it, and no prosecution could go forward.</w:t>
      </w:r>
    </w:p>
    <w:p>
      <w:pPr>
        <w:pStyle w:val="BodyText"/>
      </w:pPr>
      <w:r>
        <w:rPr>
          <w:bCs/>
          <w:b/>
        </w:rPr>
        <w:t xml:space="preserve">Why a report still matters.</w:t>
      </w:r>
      <w:r>
        <w:t xml:space="preserve"> </w:t>
      </w:r>
      <w:r>
        <w:t xml:space="preserve">A police report serves three purposes. It creates an official, dated record of the</w:t>
      </w:r>
      <w:r>
        <w:t xml:space="preserve"> </w:t>
      </w:r>
      <w:r>
        <w:t xml:space="preserve">event and of injuries observed at the time. It is the usual gateway to crime victim compensation (§4). It shows</w:t>
      </w:r>
      <w:r>
        <w:t xml:space="preserve"> </w:t>
      </w:r>
      <w:r>
        <w:t xml:space="preserve">that the person sought help through ordinary channels, which matters in later disputes over credibility,</w:t>
      </w:r>
      <w:r>
        <w:t xml:space="preserve"> </w:t>
      </w:r>
      <w:r>
        <w:t xml:space="preserve">competence, or custody (</w:t>
      </w:r>
      <w:hyperlink r:id="rId22">
        <w:r>
          <w:rPr>
            <w:rStyle w:val="Hyperlink"/>
          </w:rPr>
          <w:t xml:space="preserve">Issue H4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The reporter’s exposure.</w:t>
      </w:r>
      <w:r>
        <w:t xml:space="preserve"> </w:t>
      </w:r>
      <w:r>
        <w:t xml:space="preserve">Statutes that punish false reports of crimes require knowledge that the report is</w:t>
      </w:r>
      <w:r>
        <w:t xml:space="preserve"> </w:t>
      </w:r>
      <w:r>
        <w:t xml:space="preserve">false. California’s statute applies to one who reports to police</w:t>
      </w:r>
      <w:r>
        <w:t xml:space="preserve"> </w:t>
      </w:r>
      <w:r>
        <w:t xml:space="preserve">“</w:t>
      </w:r>
      <w:r>
        <w:t xml:space="preserve">that a felony or misdemeanor has been committed,</w:t>
      </w:r>
      <w:r>
        <w:t xml:space="preserve"> </w:t>
      </w:r>
      <w:r>
        <w:t xml:space="preserve">knowing the report to be false.</w:t>
      </w:r>
      <w:r>
        <w:t xml:space="preserve">”</w:t>
      </w:r>
      <w:r>
        <w:t xml:space="preserve"> </w:t>
      </w:r>
      <w:r>
        <w:t xml:space="preserve">Cal. Penal Code §148.5(a). Statements to federal agents are punishable under 18</w:t>
      </w:r>
      <w:r>
        <w:t xml:space="preserve"> </w:t>
      </w:r>
      <w:r>
        <w:t xml:space="preserve">U.S.C. §1001 only if knowingly and willfully false. A sincere report of what the person perceived is not a false</w:t>
      </w:r>
      <w:r>
        <w:t xml:space="preserve"> </w:t>
      </w:r>
      <w:r>
        <w:t xml:space="preserve">report, whatever its cause turns out to be. A Westlaw search in October 2026 found no reported prosecution for a</w:t>
      </w:r>
      <w:r>
        <w:t xml:space="preserve"> </w:t>
      </w:r>
      <w:r>
        <w:t xml:space="preserve">false report of a UFO or abduction. Counsel should still advise the client to describe perceptions and injuries</w:t>
      </w:r>
      <w:r>
        <w:t xml:space="preserve"> </w:t>
      </w:r>
      <w:r>
        <w:t xml:space="preserve">plainly, to separate what was seen from what is believed, and to avoid embellishment.</w:t>
      </w:r>
    </w:p>
    <w:p>
      <w:pPr>
        <w:pStyle w:val="BodyText"/>
      </w:pPr>
      <w:r>
        <w:rPr>
          <w:bCs/>
          <w:b/>
        </w:rPr>
        <w:t xml:space="preserve">Self-defense.</w:t>
      </w:r>
      <w:r>
        <w:t xml:space="preserve"> </w:t>
      </w:r>
      <w:r>
        <w:t xml:space="preserve">Justification statutes are written for force used against another person. Arizona allows force</w:t>
      </w:r>
      <w:r>
        <w:t xml:space="preserve"> </w:t>
      </w:r>
      <w:r>
        <w:t xml:space="preserve">“</w:t>
      </w:r>
      <w:r>
        <w:t xml:space="preserve">against another</w:t>
      </w:r>
      <w:r>
        <w:t xml:space="preserve">”</w:t>
      </w:r>
      <w:r>
        <w:t xml:space="preserve"> </w:t>
      </w:r>
      <w:r>
        <w:t xml:space="preserve">when a reasonable person would believe it immediately necessary to protect against</w:t>
      </w:r>
      <w:r>
        <w:t xml:space="preserve"> </w:t>
      </w:r>
      <w:r>
        <w:t xml:space="preserve">“</w:t>
      </w:r>
      <w:r>
        <w:t xml:space="preserve">the other’s</w:t>
      </w:r>
      <w:r>
        <w:t xml:space="preserve"> </w:t>
      </w:r>
      <w:r>
        <w:t xml:space="preserve">use or attempted use of unlawful physical force.</w:t>
      </w:r>
      <w:r>
        <w:t xml:space="preserve">”</w:t>
      </w:r>
      <w:r>
        <w:t xml:space="preserve"> </w:t>
      </w:r>
      <w:r>
        <w:t xml:space="preserve">Ariz. Rev. Stat. §13-404(A). If an NHI is not a person, the</w:t>
      </w:r>
      <w:r>
        <w:t xml:space="preserve"> </w:t>
      </w:r>
      <w:r>
        <w:t xml:space="preserve">defender would rely on necessity and on the general rule that force against a non-person threat (an animal, a</w:t>
      </w:r>
      <w:r>
        <w:t xml:space="preserve"> </w:t>
      </w:r>
      <w:r>
        <w:t xml:space="preserve">machine) is judged by reasonableness. Discharging a firearm near a military installation or into the air raises</w:t>
      </w:r>
      <w:r>
        <w:t xml:space="preserve"> </w:t>
      </w:r>
      <w:r>
        <w:t xml:space="preserve">separate weapons and aviation offenses;</w:t>
      </w:r>
      <w:r>
        <w:t xml:space="preserve"> </w:t>
      </w:r>
      <w:hyperlink r:id="rId25">
        <w:r>
          <w:rPr>
            <w:rStyle w:val="Hyperlink"/>
          </w:rPr>
          <w:t xml:space="preserve">Issue F2</w:t>
        </w:r>
      </w:hyperlink>
      <w:r>
        <w:t xml:space="preserve"> </w:t>
      </w:r>
      <w:r>
        <w:t xml:space="preserve">covers force against craft.</w:t>
      </w:r>
    </w:p>
    <w:p>
      <w:r>
        <w:pict>
          <v:rect style="width:0;height:1.5pt" o:hralign="center" o:hrstd="t" o:hr="t"/>
        </w:pict>
      </w:r>
    </w:p>
    <w:bookmarkEnd w:id="26"/>
    <w:bookmarkStart w:id="36" w:name="government-duties"/>
    <w:p>
      <w:pPr>
        <w:pStyle w:val="Heading2"/>
      </w:pPr>
      <w:r>
        <w:t xml:space="preserve">3. Government duties</w:t>
      </w:r>
    </w:p>
    <w:bookmarkStart w:id="29" w:name="due-process"/>
    <w:p>
      <w:pPr>
        <w:pStyle w:val="Heading3"/>
      </w:pPr>
      <w:r>
        <w:t xml:space="preserve">3.1 Due process</w:t>
      </w:r>
    </w:p>
    <w:p>
      <w:pPr>
        <w:pStyle w:val="FirstParagraph"/>
      </w:pPr>
      <w:r>
        <w:t xml:space="preserve">The Due Process Clause does not require the state to protect people from harm by others.</w:t>
      </w:r>
      <w:r>
        <w:t xml:space="preserve"> </w:t>
      </w:r>
      <w:r>
        <w:rPr>
          <w:iCs/>
          <w:i/>
        </w:rPr>
        <w:t xml:space="preserve">DeShaney v. Winnebago</w:t>
      </w:r>
      <w:r>
        <w:rPr>
          <w:iCs/>
          <w:i/>
        </w:rPr>
        <w:t xml:space="preserve"> </w:t>
      </w:r>
      <w:r>
        <w:rPr>
          <w:iCs/>
          <w:i/>
        </w:rPr>
        <w:t xml:space="preserve">County Department of Social Services</w:t>
      </w:r>
      <w:r>
        <w:t xml:space="preserve">, 489 U.S. 189, 195-97 (1989). A person has no protected property interest in</w:t>
      </w:r>
      <w:r>
        <w:t xml:space="preserve"> </w:t>
      </w:r>
      <w:r>
        <w:t xml:space="preserve">police enforcement of a restraining order.</w:t>
      </w:r>
      <w:r>
        <w:t xml:space="preserve"> </w:t>
      </w:r>
      <w:r>
        <w:rPr>
          <w:iCs/>
          <w:i/>
        </w:rPr>
        <w:t xml:space="preserve">Town of Castle Rock v. Gonzales</w:t>
      </w:r>
      <w:r>
        <w:t xml:space="preserve">, 545 U.S. 748 (2005). Two exceptions</w:t>
      </w:r>
      <w:r>
        <w:t xml:space="preserve"> </w:t>
      </w:r>
      <w:r>
        <w:t xml:space="preserve">matter.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Custody.</w:t>
      </w:r>
      <w:r>
        <w:t xml:space="preserve"> </w:t>
      </w:r>
      <w:r>
        <w:t xml:space="preserve">The state owes a duty to people it holds. This would matter if the government took custody of an</w:t>
      </w:r>
      <w:r>
        <w:t xml:space="preserve"> </w:t>
      </w:r>
      <w:r>
        <w:t xml:space="preserve">abductee after an event (</w:t>
      </w:r>
      <w:hyperlink r:id="rId27">
        <w:r>
          <w:rPr>
            <w:rStyle w:val="Hyperlink"/>
          </w:rPr>
          <w:t xml:space="preserve">Issue H2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State-created danger.</w:t>
      </w:r>
      <w:r>
        <w:t xml:space="preserve"> </w:t>
      </w:r>
      <w:r>
        <w:t xml:space="preserve">Most circuits recognize liability where officials affirmatively placed a person in a</w:t>
      </w:r>
      <w:r>
        <w:t xml:space="preserve"> </w:t>
      </w:r>
      <w:r>
        <w:t xml:space="preserve">danger the person would not otherwise have faced, with deliberate indifference. In the Ninth Circuit, an</w:t>
      </w:r>
      <w:r>
        <w:t xml:space="preserve"> </w:t>
      </w:r>
      <w:r>
        <w:t xml:space="preserve">officer who told a family that the police would warn them before contacting a violent neighbor, then contacted</w:t>
      </w:r>
      <w:r>
        <w:t xml:space="preserve"> </w:t>
      </w:r>
      <w:r>
        <w:t xml:space="preserve">the neighbor without warning, could be liable for the resulting shooting.</w:t>
      </w:r>
      <w:r>
        <w:t xml:space="preserve"> </w:t>
      </w:r>
      <w:r>
        <w:rPr>
          <w:iCs/>
          <w:i/>
        </w:rPr>
        <w:t xml:space="preserve">Kennedy v. City of Ridgefield</w:t>
      </w:r>
      <w:r>
        <w:t xml:space="preserve">, 439</w:t>
      </w:r>
      <w:r>
        <w:t xml:space="preserve"> </w:t>
      </w:r>
      <w:r>
        <w:t xml:space="preserve">F.3d 1055 (9th Cir. 2006). Affirmative false reassurance has been held insufficient where officials balanced</w:t>
      </w:r>
      <w:r>
        <w:t xml:space="preserve"> </w:t>
      </w:r>
      <w:r>
        <w:t xml:space="preserve">competing duties in an emergency.</w:t>
      </w:r>
      <w:r>
        <w:t xml:space="preserve"> </w:t>
      </w:r>
      <w:r>
        <w:rPr>
          <w:iCs/>
          <w:i/>
        </w:rPr>
        <w:t xml:space="preserve">Lombardi v. Whitman</w:t>
      </w:r>
      <w:r>
        <w:t xml:space="preserve">, 485 F.3d 73 (2d Cir. 2007) (</w:t>
      </w:r>
      <w:hyperlink r:id="rId28">
        <w:r>
          <w:rPr>
            <w:rStyle w:val="Hyperlink"/>
          </w:rPr>
          <w:t xml:space="preserve">Issue D6</w:t>
        </w:r>
      </w:hyperlink>
      <w:r>
        <w:t xml:space="preserve"> </w:t>
      </w:r>
      <w:r>
        <w:t xml:space="preserve">§2).</w:t>
      </w:r>
    </w:p>
    <w:p>
      <w:pPr>
        <w:pStyle w:val="FirstParagraph"/>
      </w:pPr>
      <w:r>
        <w:t xml:space="preserve">Applied to abductions, a claim needs an affirmative government act directed at identifiable people: an official</w:t>
      </w:r>
      <w:r>
        <w:t xml:space="preserve"> </w:t>
      </w:r>
      <w:r>
        <w:t xml:space="preserve">assurance to a specific family that nothing was happening, a cover story given to a household that kept it from</w:t>
      </w:r>
      <w:r>
        <w:t xml:space="preserve"> </w:t>
      </w:r>
      <w:r>
        <w:t xml:space="preserve">leaving or seeking help, or ridicule by officials that deterred a specific victim from reporting a repeat</w:t>
      </w:r>
      <w:r>
        <w:t xml:space="preserve"> </w:t>
      </w:r>
      <w:r>
        <w:t xml:space="preserve">event. Silence, and a general policy of secrecy, will not meet the standard.</w:t>
      </w:r>
    </w:p>
    <w:bookmarkEnd w:id="29"/>
    <w:bookmarkStart w:id="31" w:name="failure-to-warn-under-the-ftca"/>
    <w:p>
      <w:pPr>
        <w:pStyle w:val="Heading3"/>
      </w:pPr>
      <w:r>
        <w:t xml:space="preserve">3.2 Failure to warn under the FTCA</w:t>
      </w:r>
    </w:p>
    <w:p>
      <w:pPr>
        <w:pStyle w:val="FirstParagraph"/>
      </w:pPr>
      <w:r>
        <w:t xml:space="preserve">A tort claim against the United States for failing to warn of a known hazard runs into the discretionary-function</w:t>
      </w:r>
      <w:r>
        <w:t xml:space="preserve"> </w:t>
      </w:r>
      <w:r>
        <w:t xml:space="preserve">exception, 28 U.S.C. §2680(a). Decisions about whether and how to warn the public are usually discretionary unless</w:t>
      </w:r>
      <w:r>
        <w:t xml:space="preserve"> </w:t>
      </w:r>
      <w:r>
        <w:t xml:space="preserve">a statute, regulation, or policy prescribed a specific course of action (</w:t>
      </w:r>
      <w:hyperlink r:id="rId30">
        <w:r>
          <w:rPr>
            <w:rStyle w:val="Hyperlink"/>
          </w:rPr>
          <w:t xml:space="preserve">Issue D4</w:t>
        </w:r>
      </w:hyperlink>
      <w:r>
        <w:t xml:space="preserve">). A claimant would need a</w:t>
      </w:r>
      <w:r>
        <w:t xml:space="preserve"> </w:t>
      </w:r>
      <w:r>
        <w:t xml:space="preserve">mandatory directive, for example an agency rule requiring notice to people known to have been exposed to a hazard.</w:t>
      </w:r>
      <w:r>
        <w:t xml:space="preserve"> </w:t>
      </w:r>
      <w:r>
        <w:rPr>
          <w:iCs/>
          <w:i/>
        </w:rPr>
        <w:t xml:space="preserve">Vietnam Veterans of America v. CIA</w:t>
      </w:r>
      <w:r>
        <w:t xml:space="preserve">, 811 F.3d 1068 (9th Cir. 2016) (</w:t>
      </w:r>
      <w:hyperlink r:id="rId27">
        <w:r>
          <w:rPr>
            <w:rStyle w:val="Hyperlink"/>
          </w:rPr>
          <w:t xml:space="preserve">Issue H2</w:t>
        </w:r>
      </w:hyperlink>
      <w:r>
        <w:t xml:space="preserve">), shows how a specific regulation can</w:t>
      </w:r>
      <w:r>
        <w:t xml:space="preserve"> </w:t>
      </w:r>
      <w:r>
        <w:t xml:space="preserve">support an order to give notice.</w:t>
      </w:r>
    </w:p>
    <w:bookmarkEnd w:id="31"/>
    <w:bookmarkStart w:id="32" w:name="the-invasion-clause"/>
    <w:p>
      <w:pPr>
        <w:pStyle w:val="Heading3"/>
      </w:pPr>
      <w:r>
        <w:t xml:space="preserve">3.3 The Invasion Clause</w:t>
      </w:r>
    </w:p>
    <w:p>
      <w:pPr>
        <w:pStyle w:val="FirstParagraph"/>
      </w:pPr>
      <w:r>
        <w:t xml:space="preserve">“</w:t>
      </w:r>
      <w:r>
        <w:t xml:space="preserve">The United States shall … protect each of them against Invasion.</w:t>
      </w:r>
      <w:r>
        <w:t xml:space="preserve">”</w:t>
      </w:r>
      <w:r>
        <w:t xml:space="preserve"> </w:t>
      </w:r>
      <w:r>
        <w:t xml:space="preserve">U.S. Const. art. IV, §4. When states sued in</w:t>
      </w:r>
      <w:r>
        <w:t xml:space="preserve"> </w:t>
      </w:r>
      <w:r>
        <w:t xml:space="preserve">the 1990s to recover the costs of unauthorized immigration, the courts of appeals held the claims nonjusticiable</w:t>
      </w:r>
      <w:r>
        <w:t xml:space="preserve"> </w:t>
      </w:r>
      <w:r>
        <w:t xml:space="preserve">or read</w:t>
      </w:r>
      <w:r>
        <w:t xml:space="preserve"> </w:t>
      </w:r>
      <w:r>
        <w:t xml:space="preserve">“</w:t>
      </w:r>
      <w:r>
        <w:t xml:space="preserve">invasion</w:t>
      </w:r>
      <w:r>
        <w:t xml:space="preserve">”</w:t>
      </w:r>
      <w:r>
        <w:t xml:space="preserve"> </w:t>
      </w:r>
      <w:r>
        <w:t xml:space="preserve">to mean armed hostility by another political entity.</w:t>
      </w:r>
      <w:r>
        <w:t xml:space="preserve"> </w:t>
      </w:r>
      <w:r>
        <w:rPr>
          <w:iCs/>
          <w:i/>
        </w:rPr>
        <w:t xml:space="preserve">California v. United States</w:t>
      </w:r>
      <w:r>
        <w:t xml:space="preserve">, 104 F.3d</w:t>
      </w:r>
      <w:r>
        <w:t xml:space="preserve"> </w:t>
      </w:r>
      <w:r>
        <w:t xml:space="preserve">1086, 1090-91 (9th Cir. 1997);</w:t>
      </w:r>
      <w:r>
        <w:t xml:space="preserve"> </w:t>
      </w:r>
      <w:r>
        <w:rPr>
          <w:iCs/>
          <w:i/>
        </w:rPr>
        <w:t xml:space="preserve">Padavan v. United States</w:t>
      </w:r>
      <w:r>
        <w:t xml:space="preserve">, 82 F.3d 23, 28 (2d Cir. 1996);</w:t>
      </w:r>
      <w:r>
        <w:t xml:space="preserve"> </w:t>
      </w:r>
      <w:r>
        <w:rPr>
          <w:iCs/>
          <w:i/>
        </w:rPr>
        <w:t xml:space="preserve">Chiles v. 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</w:t>
      </w:r>
      <w:r>
        <w:t xml:space="preserve">, 69 F.3d 1094, 1097 (11th Cir. 1995);</w:t>
      </w:r>
      <w:r>
        <w:t xml:space="preserve"> </w:t>
      </w:r>
      <w:r>
        <w:rPr>
          <w:iCs/>
          <w:i/>
        </w:rPr>
        <w:t xml:space="preserve">New Jersey v. United States</w:t>
      </w:r>
      <w:r>
        <w:t xml:space="preserve">, 91 F.3d 463 (3d Cir. 1996).</w:t>
      </w:r>
    </w:p>
    <w:p>
      <w:pPr>
        <w:pStyle w:val="BodyText"/>
      </w:pPr>
      <w:r>
        <w:t xml:space="preserve">The question returned with Texas’s border measures. A Fifth Circuit panel held in 2025 that a challenge to Texas’s</w:t>
      </w:r>
      <w:r>
        <w:t xml:space="preserve"> </w:t>
      </w:r>
      <w:r>
        <w:t xml:space="preserve">immigration statute was justiciable even though Texas defended it under the State War Clause, which lets a state</w:t>
      </w:r>
      <w:r>
        <w:t xml:space="preserve"> </w:t>
      </w:r>
      <w:r>
        <w:t xml:space="preserve">engage in war when</w:t>
      </w:r>
      <w:r>
        <w:t xml:space="preserve"> </w:t>
      </w:r>
      <w:r>
        <w:t xml:space="preserve">“</w:t>
      </w:r>
      <w:r>
        <w:t xml:space="preserve">actually invaded.</w:t>
      </w:r>
      <w:r>
        <w:t xml:space="preserve">”</w:t>
      </w:r>
      <w:r>
        <w:t xml:space="preserve"> </w:t>
      </w:r>
      <w:r>
        <w:rPr>
          <w:iCs/>
          <w:i/>
        </w:rPr>
        <w:t xml:space="preserve">United States v. Texas</w:t>
      </w:r>
      <w:r>
        <w:t xml:space="preserve">, 144 F.4th 632 (5th Cir. 2025), vacated on reh’g en</w:t>
      </w:r>
      <w:r>
        <w:t xml:space="preserve"> </w:t>
      </w:r>
      <w:r>
        <w:t xml:space="preserve">banc, 173 F.4th 659 (5th Cir. 2026). The en banc court vacated the preliminary injunction because the plaintiffs</w:t>
      </w:r>
      <w:r>
        <w:t xml:space="preserve"> </w:t>
      </w:r>
      <w:r>
        <w:t xml:space="preserve">lacked standing and did not reach the clause. 173 F.4th at 667. Judge Ho, concurring, would leave the existence of an</w:t>
      </w:r>
      <w:r>
        <w:t xml:space="preserve"> </w:t>
      </w:r>
      <w:r>
        <w:t xml:space="preserve">invasion to the executive, state or federal, and not to the courts,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667-68 (Ho, J., concurring); the</w:t>
      </w:r>
      <w:r>
        <w:t xml:space="preserve"> </w:t>
      </w:r>
      <w:r>
        <w:t xml:space="preserve">dissenters would hold that federal statutes on alien entry and removal remain supreme even when the clause is</w:t>
      </w:r>
      <w:r>
        <w:t xml:space="preserve"> </w:t>
      </w:r>
      <w:r>
        <w:t xml:space="preserve">triggered,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731-32 (Richman, J., dissenting). No opinion in the case decides what counts as an invasion. District courts construing the Alien Enemies Act, 50</w:t>
      </w:r>
      <w:r>
        <w:t xml:space="preserve"> </w:t>
      </w:r>
      <w:r>
        <w:t xml:space="preserve">U.S.C. §21, which applies to an</w:t>
      </w:r>
      <w:r>
        <w:t xml:space="preserve"> </w:t>
      </w:r>
      <w:r>
        <w:t xml:space="preserve">“</w:t>
      </w:r>
      <w:r>
        <w:t xml:space="preserve">invasion or predatory incursion</w:t>
      </w:r>
      <w:r>
        <w:t xml:space="preserve">”</w:t>
      </w:r>
      <w:r>
        <w:t xml:space="preserve"> </w:t>
      </w:r>
      <w:r>
        <w:t xml:space="preserve">by a</w:t>
      </w:r>
      <w:r>
        <w:t xml:space="preserve"> </w:t>
      </w:r>
      <w:r>
        <w:t xml:space="preserve">“</w:t>
      </w:r>
      <w:r>
        <w:t xml:space="preserve">foreign nation or government,</w:t>
      </w:r>
      <w:r>
        <w:t xml:space="preserve">”</w:t>
      </w:r>
      <w:r>
        <w:t xml:space="preserve"> </w:t>
      </w:r>
      <w:r>
        <w:t xml:space="preserve">held in 2025</w:t>
      </w:r>
      <w:r>
        <w:t xml:space="preserve"> </w:t>
      </w:r>
      <w:r>
        <w:t xml:space="preserve">that the statute requires an organized, armed incursion by a foreign nation or government.</w:t>
      </w:r>
      <w:r>
        <w:t xml:space="preserve"> </w:t>
      </w:r>
      <w:r>
        <w:rPr>
          <w:iCs/>
          <w:i/>
        </w:rPr>
        <w:t xml:space="preserve">J.A.V. v. Trump</w:t>
      </w:r>
      <w:r>
        <w:t xml:space="preserve">, 781 F.</w:t>
      </w:r>
      <w:r>
        <w:t xml:space="preserve"> </w:t>
      </w:r>
      <w:r>
        <w:t xml:space="preserve">Supp. 3d 535 (S.D. Tex. 2025);</w:t>
      </w:r>
      <w:r>
        <w:t xml:space="preserve"> </w:t>
      </w:r>
      <w:r>
        <w:rPr>
          <w:iCs/>
          <w:i/>
        </w:rPr>
        <w:t xml:space="preserve">G.F.F. v. Trump</w:t>
      </w:r>
      <w:r>
        <w:t xml:space="preserve">, 781 F. Supp. 3d 195 (S.D.N.Y. 2025).</w:t>
      </w:r>
    </w:p>
    <w:p>
      <w:pPr>
        <w:pStyle w:val="BodyText"/>
      </w:pPr>
      <w:r>
        <w:t xml:space="preserve">Repeated, organized taking of residents by a nonhuman power would fit those readings more closely than migration</w:t>
      </w:r>
      <w:r>
        <w:t xml:space="preserve"> </w:t>
      </w:r>
      <w:r>
        <w:t xml:space="preserve">does. The clause still gives no remedy to an individual, and a state’s suit to compel federal protection would</w:t>
      </w:r>
      <w:r>
        <w:t xml:space="preserve"> </w:t>
      </w:r>
      <w:r>
        <w:t xml:space="preserve">face the political-question holdings above. Its value is in legislation and in a state’s own emergency powers.</w:t>
      </w:r>
    </w:p>
    <w:bookmarkEnd w:id="32"/>
    <w:bookmarkStart w:id="35" w:name="international-human-rights-law"/>
    <w:p>
      <w:pPr>
        <w:pStyle w:val="Heading3"/>
      </w:pPr>
      <w:r>
        <w:t xml:space="preserve">3.4 International human rights law</w:t>
      </w:r>
    </w:p>
    <w:p>
      <w:pPr>
        <w:pStyle w:val="FirstParagraph"/>
      </w:pPr>
      <w:r>
        <w:t xml:space="preserve">The International Covenant on Civil and Political Rights protects life (art. 6), freedom from cruel treatment,</w:t>
      </w:r>
      <w:r>
        <w:t xml:space="preserve"> </w:t>
      </w:r>
      <w:r>
        <w:t xml:space="preserve">including medical or scientific experimentation without free consent (art. 7), and liberty and security of person</w:t>
      </w:r>
      <w:r>
        <w:t xml:space="preserve"> </w:t>
      </w:r>
      <w:r>
        <w:t xml:space="preserve">(art. 9). The Human Rights Committee reads article 6 to require states to take reasonable positive measures against</w:t>
      </w:r>
      <w:r>
        <w:t xml:space="preserve"> </w:t>
      </w:r>
      <w:r>
        <w:t xml:space="preserve">reasonably foreseeable threats to life, including threats from private actors. General Comment No. 36 (2018). The</w:t>
      </w:r>
      <w:r>
        <w:t xml:space="preserve"> </w:t>
      </w:r>
      <w:r>
        <w:t xml:space="preserve">European Court of Human Rights finds a violation where authorities knew or ought to have known of a real and</w:t>
      </w:r>
      <w:r>
        <w:t xml:space="preserve"> </w:t>
      </w:r>
      <w:r>
        <w:t xml:space="preserve">immediate risk to the life of an identified person and failed to take reasonable measures within their powers.</w:t>
      </w:r>
      <w:r>
        <w:t xml:space="preserve"> </w:t>
      </w:r>
      <w:r>
        <w:rPr>
          <w:iCs/>
          <w:i/>
        </w:rPr>
        <w:t xml:space="preserve">Osman v. United Kingdom</w:t>
      </w:r>
      <w:r>
        <w:t xml:space="preserve">, 1998-VIII Eur. Ct. H.R. 3124. The Inter-American Court holds states responsible for</w:t>
      </w:r>
      <w:r>
        <w:t xml:space="preserve"> </w:t>
      </w:r>
      <w:r>
        <w:t xml:space="preserve">failing to prevent, investigate, and punish violations by actors not directly attributable to the state.</w:t>
      </w:r>
      <w:r>
        <w:t xml:space="preserve"> </w:t>
      </w:r>
      <w:r>
        <w:rPr>
          <w:iCs/>
          <w:i/>
        </w:rPr>
        <w:t xml:space="preserve">Velásquez Rodríguez v. Honduras</w:t>
      </w:r>
      <w:r>
        <w:t xml:space="preserve">, Inter-Am. Ct. H.R. (ser. C) No. 4 (July 29, 1988). The United States treats the</w:t>
      </w:r>
      <w:r>
        <w:t xml:space="preserve"> </w:t>
      </w:r>
      <w:r>
        <w:t xml:space="preserve">ICCPR as non-self-executing, so these sources support advocacy, foreign proceedings (</w:t>
      </w:r>
      <w:hyperlink r:id="rId33">
        <w:r>
          <w:rPr>
            <w:rStyle w:val="Hyperlink"/>
          </w:rPr>
          <w:t xml:space="preserve">Issue F6</w:t>
        </w:r>
      </w:hyperlink>
      <w:r>
        <w:t xml:space="preserve">), and the design of</w:t>
      </w:r>
      <w:r>
        <w:t xml:space="preserve"> </w:t>
      </w:r>
      <w:r>
        <w:t xml:space="preserve">a statute. Concealment of a known pattern of abductions would also engage the right to truth (</w:t>
      </w:r>
      <w:hyperlink r:id="rId34">
        <w:r>
          <w:rPr>
            <w:rStyle w:val="Hyperlink"/>
          </w:rPr>
          <w:t xml:space="preserve">Issue A4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9" w:name="compensation-and-care"/>
    <w:p>
      <w:pPr>
        <w:pStyle w:val="Heading2"/>
      </w:pPr>
      <w:r>
        <w:t xml:space="preserve">4. Compensation and care</w:t>
      </w:r>
    </w:p>
    <w:p>
      <w:pPr>
        <w:pStyle w:val="FirstParagraph"/>
      </w:pPr>
      <w:r>
        <w:rPr>
          <w:bCs/>
          <w:b/>
        </w:rPr>
        <w:t xml:space="preserve">Victim compensation.</w:t>
      </w:r>
      <w:r>
        <w:t xml:space="preserve"> </w:t>
      </w:r>
      <w:r>
        <w:t xml:space="preserve">Every state runs a crime victim compensation program, partly funded by federal grants</w:t>
      </w:r>
      <w:r>
        <w:t xml:space="preserve"> </w:t>
      </w:r>
      <w:r>
        <w:t xml:space="preserve">under the Victims of Crime Act, 34 U.S.C. §20101 et seq. California’s program is at Cal. Gov’t Code §13950 et seq.;</w:t>
      </w:r>
      <w:r>
        <w:t xml:space="preserve"> </w:t>
      </w:r>
      <w:r>
        <w:t xml:space="preserve">Arizona’s is administered under Ariz. Rev. Stat. §41-2407 and Ariz. Admin. Code R10-4-101 et seq. Programs</w:t>
      </w:r>
      <w:r>
        <w:t xml:space="preserve"> </w:t>
      </w:r>
      <w:r>
        <w:t xml:space="preserve">routinely pay where the offender was never identified.</w:t>
      </w:r>
      <w:r>
        <w:t xml:space="preserve"> </w:t>
      </w:r>
      <w:r>
        <w:rPr>
          <w:iCs/>
          <w:i/>
        </w:rPr>
        <w:t xml:space="preserve">In re Sikute</w:t>
      </w:r>
      <w:r>
        <w:t xml:space="preserve">, 61 Ohio Misc. 2d 512, 580 N.E.2d 520 (Ohio</w:t>
      </w:r>
      <w:r>
        <w:t xml:space="preserve"> </w:t>
      </w:r>
      <w:r>
        <w:t xml:space="preserve">Ct. Cl. 1990) (assault by unidentified assailant);</w:t>
      </w:r>
      <w:r>
        <w:t xml:space="preserve"> </w:t>
      </w:r>
      <w:r>
        <w:rPr>
          <w:iCs/>
          <w:i/>
        </w:rPr>
        <w:t xml:space="preserve">In re Application of Mines</w:t>
      </w:r>
      <w:r>
        <w:t xml:space="preserve">, 48 Ill. Ct. Cl. 666 (1996)</w:t>
      </w:r>
      <w:r>
        <w:t xml:space="preserve"> </w:t>
      </w:r>
      <w:r>
        <w:t xml:space="preserve">(unknown offenders). They usually require a timely police report and cooperation with law enforcement, and they</w:t>
      </w:r>
      <w:r>
        <w:t xml:space="preserve"> </w:t>
      </w:r>
      <w:r>
        <w:t xml:space="preserve">deny claims for non-cooperation.</w:t>
      </w:r>
      <w:r>
        <w:t xml:space="preserve"> </w:t>
      </w:r>
      <w:r>
        <w:rPr>
          <w:iCs/>
          <w:i/>
        </w:rPr>
        <w:t xml:space="preserve">In re Application of Oguniana</w:t>
      </w:r>
      <w:r>
        <w:t xml:space="preserve">, 52 Ill. Ct. Cl. 667 (1999).</w:t>
      </w:r>
    </w:p>
    <w:p>
      <w:pPr>
        <w:pStyle w:val="BodyText"/>
      </w:pPr>
      <w:r>
        <w:t xml:space="preserve">For an abductee the questions are:</w:t>
      </w:r>
    </w:p>
    <w:p>
      <w:pPr>
        <w:pStyle w:val="Compact"/>
        <w:numPr>
          <w:ilvl w:val="0"/>
          <w:numId w:val="1003"/>
        </w:numPr>
      </w:pPr>
      <w:r>
        <w:t xml:space="preserve">whether the police took a report at all;</w:t>
      </w:r>
    </w:p>
    <w:p>
      <w:pPr>
        <w:pStyle w:val="Compact"/>
        <w:numPr>
          <w:ilvl w:val="0"/>
          <w:numId w:val="1003"/>
        </w:numPr>
      </w:pPr>
      <w:r>
        <w:t xml:space="preserve">whether the program treats the conduct as</w:t>
      </w:r>
      <w:r>
        <w:t xml:space="preserve"> </w:t>
      </w:r>
      <w:r>
        <w:t xml:space="preserve">“</w:t>
      </w:r>
      <w:r>
        <w:t xml:space="preserve">criminally injurious conduct</w:t>
      </w:r>
      <w:r>
        <w:t xml:space="preserve">”</w:t>
      </w:r>
      <w:r>
        <w:t xml:space="preserve"> </w:t>
      </w:r>
      <w:r>
        <w:t xml:space="preserve">or a</w:t>
      </w:r>
      <w:r>
        <w:t xml:space="preserve"> </w:t>
      </w:r>
      <w:r>
        <w:t xml:space="preserve">“</w:t>
      </w:r>
      <w:r>
        <w:t xml:space="preserve">crime</w:t>
      </w:r>
      <w:r>
        <w:t xml:space="preserve">”</w:t>
      </w:r>
      <w:r>
        <w:t xml:space="preserve"> </w:t>
      </w:r>
      <w:r>
        <w:t xml:space="preserve">when the actor cannot be</w:t>
      </w:r>
      <w:r>
        <w:t xml:space="preserve"> </w:t>
      </w:r>
      <w:r>
        <w:t xml:space="preserve">charged. Several programs define the term by the conduct and the hypothetical offender. California covers an</w:t>
      </w:r>
      <w:r>
        <w:t xml:space="preserve"> </w:t>
      </w:r>
      <w:r>
        <w:t xml:space="preserve">offense</w:t>
      </w:r>
      <w:r>
        <w:t xml:space="preserve"> </w:t>
      </w:r>
      <w:r>
        <w:t xml:space="preserve">“</w:t>
      </w:r>
      <w:r>
        <w:t xml:space="preserve">that would constitute a misdemeanor or a felony if the crime had been committed in California by a</w:t>
      </w:r>
      <w:r>
        <w:t xml:space="preserve"> </w:t>
      </w:r>
      <w:r>
        <w:t xml:space="preserve">competent adult.</w:t>
      </w:r>
      <w:r>
        <w:t xml:space="preserve">”</w:t>
      </w:r>
      <w:r>
        <w:t xml:space="preserve"> </w:t>
      </w:r>
      <w:r>
        <w:t xml:space="preserve">Cal. Gov’t Code §13951(b)(1). Arizona covers conduct that constitutes a crime</w:t>
      </w:r>
      <w:r>
        <w:t xml:space="preserve"> </w:t>
      </w:r>
      <w:r>
        <w:t xml:space="preserve">“</w:t>
      </w:r>
      <w:r>
        <w:t xml:space="preserve">regardless of</w:t>
      </w:r>
      <w:r>
        <w:t xml:space="preserve"> </w:t>
      </w:r>
      <w:r>
        <w:t xml:space="preserve">whether the perpetrator of the conduct is apprehended, charged, or convicted,</w:t>
      </w:r>
      <w:r>
        <w:t xml:space="preserve">”</w:t>
      </w:r>
      <w:r>
        <w:t xml:space="preserve"> </w:t>
      </w:r>
      <w:r>
        <w:t xml:space="preserve">and conduct that</w:t>
      </w:r>
      <w:r>
        <w:t xml:space="preserve"> </w:t>
      </w:r>
      <w:r>
        <w:t xml:space="preserve">“</w:t>
      </w:r>
      <w:r>
        <w:t xml:space="preserve">would be</w:t>
      </w:r>
      <w:r>
        <w:t xml:space="preserve"> </w:t>
      </w:r>
      <w:r>
        <w:t xml:space="preserve">punishable but the perpetrator of the conduct lacked the capacity to commit the crime.</w:t>
      </w:r>
      <w:r>
        <w:t xml:space="preserve">”</w:t>
      </w:r>
      <w:r>
        <w:t xml:space="preserve"> </w:t>
      </w:r>
      <w:r>
        <w:t xml:space="preserve">Ariz. Admin. Code</w:t>
      </w:r>
      <w:r>
        <w:t xml:space="preserve"> </w:t>
      </w:r>
      <w:r>
        <w:t xml:space="preserve">R10-4-101(9). Under definitions of this kind, seizing and injuring a person qualifies whoever or whatever the</w:t>
      </w:r>
      <w:r>
        <w:t xml:space="preserve"> </w:t>
      </w:r>
      <w:r>
        <w:t xml:space="preserve">actor was. Ohio defines the term in Ohio Rev. Code §2743.51(C);</w:t>
      </w:r>
    </w:p>
    <w:p>
      <w:pPr>
        <w:pStyle w:val="Compact"/>
        <w:numPr>
          <w:ilvl w:val="0"/>
          <w:numId w:val="1003"/>
        </w:numPr>
      </w:pPr>
      <w:r>
        <w:t xml:space="preserve">whether a program will treat a report that officers dismissed as a failure to cooperate.</w:t>
      </w:r>
    </w:p>
    <w:p>
      <w:pPr>
        <w:pStyle w:val="FirstParagraph"/>
      </w:pPr>
      <w:r>
        <w:t xml:space="preserve">Applications should include the police report or a record of the attempt to make one, medical records made close</w:t>
      </w:r>
      <w:r>
        <w:t xml:space="preserve"> </w:t>
      </w:r>
      <w:r>
        <w:t xml:space="preserve">in time, photographs of injuries, and witness statements. A denial should be appealed on the ground that the</w:t>
      </w:r>
      <w:r>
        <w:t xml:space="preserve"> </w:t>
      </w:r>
      <w:r>
        <w:t xml:space="preserve">program’s text covers injury from conduct that would be a crime if committed by a person with capacity.</w:t>
      </w:r>
    </w:p>
    <w:p>
      <w:pPr>
        <w:pStyle w:val="BodyText"/>
      </w:pPr>
      <w:r>
        <w:rPr>
          <w:bCs/>
          <w:b/>
        </w:rPr>
        <w:t xml:space="preserve">A statutory model.</w:t>
      </w:r>
      <w:r>
        <w:t xml:space="preserve"> </w:t>
      </w:r>
      <w:r>
        <w:t xml:space="preserve">The HAVANA Act, Pub. L. No. 117-46, 135 Stat. 391 (2021), pays covered personnel for</w:t>
      </w:r>
      <w:r>
        <w:t xml:space="preserve"> </w:t>
      </w:r>
      <w:r>
        <w:t xml:space="preserve">qualifying brain injuries from</w:t>
      </w:r>
      <w:r>
        <w:t xml:space="preserve"> </w:t>
      </w:r>
      <w:r>
        <w:t xml:space="preserve">“</w:t>
      </w:r>
      <w:r>
        <w:t xml:space="preserve">anomalous health incidents</w:t>
      </w:r>
      <w:r>
        <w:t xml:space="preserve">”</w:t>
      </w:r>
      <w:r>
        <w:t xml:space="preserve"> </w:t>
      </w:r>
      <w:r>
        <w:t xml:space="preserve">without requiring proof of the cause.</w:t>
      </w:r>
      <w:r>
        <w:t xml:space="preserve"> </w:t>
      </w:r>
      <w:hyperlink r:id="rId37">
        <w:r>
          <w:rPr>
            <w:rStyle w:val="Hyperlink"/>
          </w:rPr>
          <w:t xml:space="preserve">Issue D5</w:t>
        </w:r>
      </w:hyperlink>
      <w:r>
        <w:t xml:space="preserve"> </w:t>
      </w:r>
      <w:r>
        <w:t xml:space="preserve">§5 sets</w:t>
      </w:r>
      <w:r>
        <w:t xml:space="preserve"> </w:t>
      </w:r>
      <w:r>
        <w:t xml:space="preserve">out a compensation program for UAP-related injuries. Abductees fit within it as a category: documented injury,</w:t>
      </w:r>
      <w:r>
        <w:t xml:space="preserve"> </w:t>
      </w:r>
      <w:r>
        <w:t xml:space="preserve">presumptions for listed conditions on proof of a qualifying event, access to classified records, and review under</w:t>
      </w:r>
      <w:r>
        <w:t xml:space="preserve"> </w:t>
      </w:r>
      <w:r>
        <w:t xml:space="preserve">the APA.</w:t>
      </w:r>
    </w:p>
    <w:p>
      <w:pPr>
        <w:pStyle w:val="BodyText"/>
      </w:pPr>
      <w:r>
        <w:rPr>
          <w:bCs/>
          <w:b/>
        </w:rPr>
        <w:t xml:space="preserve">Medical records and their consequences.</w:t>
      </w:r>
      <w:r>
        <w:t xml:space="preserve"> </w:t>
      </w:r>
      <w:r>
        <w:t xml:space="preserve">An abductee who seeks treatment creates records that can follow the</w:t>
      </w:r>
      <w:r>
        <w:t xml:space="preserve"> </w:t>
      </w:r>
      <w:r>
        <w:t xml:space="preserve">person into security clearance reviews (</w:t>
      </w:r>
      <w:hyperlink r:id="rId38">
        <w:r>
          <w:rPr>
            <w:rStyle w:val="Hyperlink"/>
          </w:rPr>
          <w:t xml:space="preserve">Issue C5</w:t>
        </w:r>
      </w:hyperlink>
      <w:r>
        <w:t xml:space="preserve"> </w:t>
      </w:r>
      <w:r>
        <w:t xml:space="preserve">§4.1), custody disputes, insurance, and employment.</w:t>
      </w:r>
      <w:r>
        <w:t xml:space="preserve"> </w:t>
      </w:r>
      <w:hyperlink r:id="rId22">
        <w:r>
          <w:rPr>
            <w:rStyle w:val="Hyperlink"/>
          </w:rPr>
          <w:t xml:space="preserve">Issue H4</w:t>
        </w:r>
      </w:hyperlink>
      <w:r>
        <w:t xml:space="preserve"> </w:t>
      </w:r>
      <w:r>
        <w:t xml:space="preserve">covers</w:t>
      </w:r>
      <w:r>
        <w:t xml:space="preserve"> </w:t>
      </w:r>
      <w:r>
        <w:t xml:space="preserve">how a report of an abduction comes to be recorded as a delusion and how to contest that. A federal firearms</w:t>
      </w:r>
      <w:r>
        <w:t xml:space="preserve"> </w:t>
      </w:r>
      <w:r>
        <w:t xml:space="preserve">disability arises only from an adjudication of mental defectiveness or an involuntary commitment, 18 U.S.C.</w:t>
      </w:r>
      <w:r>
        <w:t xml:space="preserve"> </w:t>
      </w:r>
      <w:r>
        <w:t xml:space="preserve">§922(g)(4), and voluntary treatment alone does not trigger it.</w:t>
      </w:r>
    </w:p>
    <w:p>
      <w:r>
        <w:pict>
          <v:rect style="width:0;height:1.5pt" o:hralign="center" o:hrstd="t" o:hr="t"/>
        </w:pict>
      </w:r>
    </w:p>
    <w:bookmarkEnd w:id="39"/>
    <w:bookmarkStart w:id="42" w:name="proof"/>
    <w:p>
      <w:pPr>
        <w:pStyle w:val="Heading2"/>
      </w:pPr>
      <w:r>
        <w:t xml:space="preserve">5. Proof</w:t>
      </w:r>
    </w:p>
    <w:p>
      <w:pPr>
        <w:pStyle w:val="FirstParagraph"/>
      </w:pPr>
      <w:r>
        <w:rPr>
          <w:bCs/>
          <w:b/>
        </w:rPr>
        <w:t xml:space="preserve">Hypnosis.</w:t>
      </w:r>
      <w:r>
        <w:t xml:space="preserve"> </w:t>
      </w:r>
      <w:r>
        <w:t xml:space="preserve">Many abduction accounts were recovered or expanded under hypnosis, beginning with Betty and Barney</w:t>
      </w:r>
      <w:r>
        <w:t xml:space="preserve"> </w:t>
      </w:r>
      <w:r>
        <w:t xml:space="preserve">Hill in the 1960s. Courts differ on hypnotically refreshed testimony.</w:t>
      </w:r>
    </w:p>
    <w:p>
      <w:pPr>
        <w:pStyle w:val="Compact"/>
        <w:numPr>
          <w:ilvl w:val="0"/>
          <w:numId w:val="1004"/>
        </w:numPr>
      </w:pPr>
      <w:r>
        <w:t xml:space="preserve">A per se rule excluding a criminal defendant’s own hypnotically refreshed testimony violates the defendant’s</w:t>
      </w:r>
      <w:r>
        <w:t xml:space="preserve"> </w:t>
      </w:r>
      <w:r>
        <w:t xml:space="preserve">right to testify.</w:t>
      </w:r>
      <w:r>
        <w:t xml:space="preserve"> </w:t>
      </w:r>
      <w:r>
        <w:rPr>
          <w:iCs/>
          <w:i/>
        </w:rPr>
        <w:t xml:space="preserve">Rock v. Arkansas</w:t>
      </w:r>
      <w:r>
        <w:t xml:space="preserve">, 483 U.S. 44 (1987).</w:t>
      </w:r>
    </w:p>
    <w:p>
      <w:pPr>
        <w:pStyle w:val="Compact"/>
        <w:numPr>
          <w:ilvl w:val="0"/>
          <w:numId w:val="1004"/>
        </w:numPr>
      </w:pPr>
      <w:r>
        <w:t xml:space="preserve">For other witnesses, California excluded hypnotically induced testimony in</w:t>
      </w:r>
      <w:r>
        <w:t xml:space="preserve"> </w:t>
      </w:r>
      <w:r>
        <w:rPr>
          <w:iCs/>
          <w:i/>
        </w:rPr>
        <w:t xml:space="preserve">People v. Shirley</w:t>
      </w:r>
      <w:r>
        <w:t xml:space="preserve">, 31 Cal. 3d 18</w:t>
      </w:r>
      <w:r>
        <w:t xml:space="preserve"> </w:t>
      </w:r>
      <w:r>
        <w:t xml:space="preserve">(1982), and now admits testimony about matters recalled and stated before hypnosis if statutory safeguards were</w:t>
      </w:r>
      <w:r>
        <w:t xml:space="preserve"> </w:t>
      </w:r>
      <w:r>
        <w:t xml:space="preserve">followed. Cal. Evid. Code §795.</w:t>
      </w:r>
    </w:p>
    <w:p>
      <w:pPr>
        <w:pStyle w:val="Compact"/>
        <w:numPr>
          <w:ilvl w:val="0"/>
          <w:numId w:val="1004"/>
        </w:numPr>
      </w:pPr>
      <w:r>
        <w:t xml:space="preserve">New Jersey abandoned the procedural safeguards of</w:t>
      </w:r>
      <w:r>
        <w:t xml:space="preserve"> </w:t>
      </w:r>
      <w:r>
        <w:rPr>
          <w:iCs/>
          <w:i/>
        </w:rPr>
        <w:t xml:space="preserve">State v. Hurd</w:t>
      </w:r>
      <w:r>
        <w:t xml:space="preserve">, 86 N.J. 525 (1981), and now treats</w:t>
      </w:r>
      <w:r>
        <w:t xml:space="preserve"> </w:t>
      </w:r>
      <w:r>
        <w:t xml:space="preserve">hypnotically refreshed testimony as generally inadmissible in criminal trials.</w:t>
      </w:r>
      <w:r>
        <w:t xml:space="preserve"> </w:t>
      </w:r>
      <w:r>
        <w:rPr>
          <w:iCs/>
          <w:i/>
        </w:rPr>
        <w:t xml:space="preserve">State v. Moore</w:t>
      </w:r>
      <w:r>
        <w:t xml:space="preserve">, 188 N.J. 182</w:t>
      </w:r>
      <w:r>
        <w:t xml:space="preserve"> </w:t>
      </w:r>
      <w:r>
        <w:t xml:space="preserve">(2006).</w:t>
      </w:r>
    </w:p>
    <w:p>
      <w:pPr>
        <w:pStyle w:val="Compact"/>
        <w:numPr>
          <w:ilvl w:val="0"/>
          <w:numId w:val="1004"/>
        </w:numPr>
      </w:pPr>
      <w:r>
        <w:t xml:space="preserve">Other courts apply a totality-of-circumstances test (</w:t>
      </w:r>
      <w:r>
        <w:rPr>
          <w:iCs/>
          <w:i/>
        </w:rPr>
        <w:t xml:space="preserve">State v. Phelps</w:t>
      </w:r>
      <w:r>
        <w:t xml:space="preserve">, 192 Ohio App. 3d 484, 949 N.E.2d 567</w:t>
      </w:r>
      <w:r>
        <w:t xml:space="preserve"> </w:t>
      </w:r>
      <w:r>
        <w:t xml:space="preserve">(2011)), and military courts admit enhanced or recovered memories only on a showing of reliability (</w:t>
      </w:r>
      <w:r>
        <w:rPr>
          <w:iCs/>
          <w:i/>
        </w:rPr>
        <w:t xml:space="preserve">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 v. D.W.B.</w:t>
      </w:r>
      <w:r>
        <w:t xml:space="preserve">, 74 M.J. 630 (N-M. Ct. Crim. App. 2015)).</w:t>
      </w:r>
    </w:p>
    <w:p>
      <w:pPr>
        <w:pStyle w:val="Compact"/>
        <w:numPr>
          <w:ilvl w:val="0"/>
          <w:numId w:val="1004"/>
        </w:numPr>
      </w:pPr>
      <w:r>
        <w:t xml:space="preserve">The prosecution must disclose that a witness was hypnotized before trial.</w:t>
      </w:r>
      <w:r>
        <w:t xml:space="preserve"> </w:t>
      </w:r>
      <w:r>
        <w:rPr>
          <w:iCs/>
          <w:i/>
        </w:rPr>
        <w:t xml:space="preserve">Sims v. Hyatte</w:t>
      </w:r>
      <w:r>
        <w:t xml:space="preserve">, 914 F.3d 1078 (7th</w:t>
      </w:r>
      <w:r>
        <w:t xml:space="preserve"> </w:t>
      </w:r>
      <w:r>
        <w:t xml:space="preserve">Cir. 2019).</w:t>
      </w:r>
    </w:p>
    <w:p>
      <w:pPr>
        <w:pStyle w:val="FirstParagraph"/>
      </w:pPr>
      <w:r>
        <w:t xml:space="preserve">These rules arise mostly in criminal cases, but civil courts borrow them, and an opponent in any dispute will use</w:t>
      </w:r>
      <w:r>
        <w:t xml:space="preserve"> </w:t>
      </w:r>
      <w:r>
        <w:t xml:space="preserve">hypnosis to attack an account. The practical rules are to write down or record the account before any hypnosis,</w:t>
      </w:r>
      <w:r>
        <w:t xml:space="preserve"> </w:t>
      </w:r>
      <w:r>
        <w:t xml:space="preserve">to keep complete recordings of any session, and to rely where possible on what the person remembered</w:t>
      </w:r>
      <w:r>
        <w:t xml:space="preserve"> </w:t>
      </w:r>
      <w:r>
        <w:t xml:space="preserve">independently.</w:t>
      </w:r>
    </w:p>
    <w:p>
      <w:pPr>
        <w:pStyle w:val="BodyText"/>
      </w:pPr>
      <w:r>
        <w:rPr>
          <w:bCs/>
          <w:b/>
        </w:rPr>
        <w:t xml:space="preserve">Physical and medical evidence.</w:t>
      </w:r>
      <w:r>
        <w:t xml:space="preserve"> </w:t>
      </w:r>
      <w:r>
        <w:t xml:space="preserve">Contemporaneous medical examinations, photographs, and preserved clothing and</w:t>
      </w:r>
      <w:r>
        <w:t xml:space="preserve"> </w:t>
      </w:r>
      <w:r>
        <w:t xml:space="preserve">objects carry more weight than later recollection. Chain of custody should be kept for any object said to have been</w:t>
      </w:r>
      <w:r>
        <w:t xml:space="preserve"> </w:t>
      </w:r>
      <w:r>
        <w:t xml:space="preserve">removed from the body.</w:t>
      </w:r>
      <w:r>
        <w:t xml:space="preserve"> </w:t>
      </w:r>
      <w:hyperlink r:id="rId37">
        <w:r>
          <w:rPr>
            <w:rStyle w:val="Hyperlink"/>
          </w:rPr>
          <w:t xml:space="preserve">Issue D5</w:t>
        </w:r>
      </w:hyperlink>
      <w:r>
        <w:t xml:space="preserve"> </w:t>
      </w:r>
      <w:r>
        <w:t xml:space="preserve">§3A discusses expert causation testimony under the amended Rule 702, and</w:t>
      </w:r>
      <w:r>
        <w:t xml:space="preserve"> </w:t>
      </w:r>
      <w:hyperlink r:id="rId37">
        <w:r>
          <w:rPr>
            <w:rStyle w:val="Hyperlink"/>
          </w:rPr>
          <w:t xml:space="preserve">Issue D5</w:t>
        </w:r>
      </w:hyperlink>
      <w:r>
        <w:t xml:space="preserve"> </w:t>
      </w:r>
      <w:r>
        <w:t xml:space="preserve">discusses the</w:t>
      </w:r>
      <w:r>
        <w:t xml:space="preserve"> </w:t>
      </w:r>
      <w:r>
        <w:rPr>
          <w:iCs/>
          <w:i/>
        </w:rPr>
        <w:t xml:space="preserve">Cash-Landrum</w:t>
      </w:r>
      <w:r>
        <w:t xml:space="preserve"> </w:t>
      </w:r>
      <w:r>
        <w:t xml:space="preserve">case, where documented injuries failed for lack of proof of who controlled the object.</w:t>
      </w:r>
    </w:p>
    <w:p>
      <w:pPr>
        <w:pStyle w:val="BodyText"/>
      </w:pPr>
      <w:r>
        <w:rPr>
          <w:bCs/>
          <w:b/>
        </w:rPr>
        <w:t xml:space="preserve">Government records.</w:t>
      </w:r>
      <w:r>
        <w:t xml:space="preserve"> </w:t>
      </w:r>
      <w:r>
        <w:t xml:space="preserve">Radar, satellite, and other sensor data may corroborate an event. Requests under FOIA</w:t>
      </w:r>
      <w:r>
        <w:t xml:space="preserve"> </w:t>
      </w:r>
      <w:r>
        <w:t xml:space="preserve">(</w:t>
      </w:r>
      <w:hyperlink r:id="rId40">
        <w:r>
          <w:rPr>
            <w:rStyle w:val="Hyperlink"/>
          </w:rPr>
          <w:t xml:space="preserve">Form B1-1</w:t>
        </w:r>
      </w:hyperlink>
      <w:r>
        <w:t xml:space="preserve">) and preservation demands should be sent promptly;</w:t>
      </w:r>
      <w:r>
        <w:t xml:space="preserve"> </w:t>
      </w:r>
      <w:hyperlink r:id="rId41">
        <w:r>
          <w:rPr>
            <w:rStyle w:val="Hyperlink"/>
          </w:rPr>
          <w:t xml:space="preserve">Issue A1</w:t>
        </w:r>
      </w:hyperlink>
      <w:r>
        <w:t xml:space="preserve"> </w:t>
      </w:r>
      <w:r>
        <w:t xml:space="preserve">covers the state secrets privilege.</w:t>
      </w:r>
    </w:p>
    <w:p>
      <w:pPr>
        <w:pStyle w:val="BodyText"/>
      </w:pPr>
      <w:r>
        <w:rPr>
          <w:bCs/>
          <w:b/>
        </w:rPr>
        <w:t xml:space="preserve">Credibility.</w:t>
      </w:r>
      <w:r>
        <w:t xml:space="preserve"> </w:t>
      </w:r>
      <w:r>
        <w:t xml:space="preserve">Stigma is the largest practical obstacle.</w:t>
      </w:r>
      <w:r>
        <w:t xml:space="preserve"> </w:t>
      </w:r>
      <w:hyperlink r:id="rId22">
        <w:r>
          <w:rPr>
            <w:rStyle w:val="Hyperlink"/>
          </w:rPr>
          <w:t xml:space="preserve">Issue H4</w:t>
        </w:r>
      </w:hyperlink>
      <w:r>
        <w:t xml:space="preserve"> </w:t>
      </w:r>
      <w:r>
        <w:t xml:space="preserve">sets out the case law treating abduction reports</w:t>
      </w:r>
      <w:r>
        <w:t xml:space="preserve"> </w:t>
      </w:r>
      <w:r>
        <w:t xml:space="preserve">as symptoms and the arguments for treating a sincere report as an observation to be weighed like any other.</w:t>
      </w:r>
    </w:p>
    <w:p>
      <w:r>
        <w:pict>
          <v:rect style="width:0;height:1.5pt" o:hralign="center" o:hrstd="t" o:hr="t"/>
        </w:pict>
      </w:r>
    </w:p>
    <w:bookmarkEnd w:id="42"/>
    <w:bookmarkStart w:id="44" w:name="nhi-as-legal-actors"/>
    <w:p>
      <w:pPr>
        <w:pStyle w:val="Heading2"/>
      </w:pPr>
      <w:r>
        <w:t xml:space="preserve">6. NHI as legal actors</w:t>
      </w:r>
    </w:p>
    <w:p>
      <w:pPr>
        <w:pStyle w:val="FirstParagraph"/>
      </w:pPr>
      <w:r>
        <w:t xml:space="preserve">Whether NHI are persons with rights and duties is</w:t>
      </w:r>
      <w:r>
        <w:t xml:space="preserve"> </w:t>
      </w:r>
      <w:hyperlink r:id="rId21">
        <w:r>
          <w:rPr>
            <w:rStyle w:val="Hyperlink"/>
          </w:rPr>
          <w:t xml:space="preserve">Issue F1</w:t>
        </w:r>
      </w:hyperlink>
      <w:r>
        <w:t xml:space="preserve">. Whether a pattern of abductions is an armed attack</w:t>
      </w:r>
      <w:r>
        <w:t xml:space="preserve"> </w:t>
      </w:r>
      <w:r>
        <w:t xml:space="preserve">justifying force under the UN Charter and domestic war-powers law is</w:t>
      </w:r>
      <w:r>
        <w:t xml:space="preserve"> </w:t>
      </w:r>
      <w:hyperlink r:id="rId25">
        <w:r>
          <w:rPr>
            <w:rStyle w:val="Hyperlink"/>
          </w:rPr>
          <w:t xml:space="preserve">Issue F2</w:t>
        </w:r>
      </w:hyperlink>
      <w:r>
        <w:t xml:space="preserve"> </w:t>
      </w:r>
      <w:r>
        <w:t xml:space="preserve">and</w:t>
      </w:r>
      <w:r>
        <w:t xml:space="preserve"> </w:t>
      </w:r>
      <w:hyperlink r:id="rId33">
        <w:r>
          <w:rPr>
            <w:rStyle w:val="Hyperlink"/>
          </w:rPr>
          <w:t xml:space="preserve">Issue F6</w:t>
        </w:r>
      </w:hyperlink>
      <w:r>
        <w:t xml:space="preserve">. Accounts that the</w:t>
      </w:r>
      <w:r>
        <w:t xml:space="preserve"> </w:t>
      </w:r>
      <w:r>
        <w:t xml:space="preserve">government has agreed with an NHI group to permit abductions in exchange for technology raise a constitutional</w:t>
      </w:r>
      <w:r>
        <w:t xml:space="preserve"> </w:t>
      </w:r>
      <w:r>
        <w:t xml:space="preserve">point worth stating: a treaty or executive agreement cannot authorize what the Constitution forbids,</w:t>
      </w:r>
      <w:r>
        <w:t xml:space="preserve"> </w:t>
      </w:r>
      <w:r>
        <w:rPr>
          <w:iCs/>
          <w:i/>
        </w:rPr>
        <w:t xml:space="preserve">Reid v.</w:t>
      </w:r>
      <w:r>
        <w:rPr>
          <w:iCs/>
          <w:i/>
        </w:rPr>
        <w:t xml:space="preserve"> </w:t>
      </w:r>
      <w:r>
        <w:rPr>
          <w:iCs/>
          <w:i/>
        </w:rPr>
        <w:t xml:space="preserve">Covert</w:t>
      </w:r>
      <w:r>
        <w:t xml:space="preserve">, 354 U.S. 1 (1957), and no government power exists to consent on a citizen’s behalf to the citizen’s</w:t>
      </w:r>
      <w:r>
        <w:t xml:space="preserve"> </w:t>
      </w:r>
      <w:r>
        <w:t xml:space="preserve">seizure and injury.</w:t>
      </w:r>
      <w:r>
        <w:t xml:space="preserve"> </w:t>
      </w:r>
      <w:hyperlink r:id="rId43">
        <w:r>
          <w:rPr>
            <w:rStyle w:val="Hyperlink"/>
          </w:rPr>
          <w:t xml:space="preserve">Issue F5</w:t>
        </w:r>
      </w:hyperlink>
      <w:r>
        <w:t xml:space="preserve"> </w:t>
      </w:r>
      <w:r>
        <w:t xml:space="preserve">discusses agreements with NHI groups.</w:t>
      </w:r>
    </w:p>
    <w:p>
      <w:r>
        <w:pict>
          <v:rect style="width:0;height:1.5pt" o:hralign="center" o:hrstd="t" o:hr="t"/>
        </w:pict>
      </w:r>
    </w:p>
    <w:bookmarkEnd w:id="44"/>
    <w:bookmarkStart w:id="47" w:name="practice-points"/>
    <w:p>
      <w:pPr>
        <w:pStyle w:val="Heading2"/>
      </w:pPr>
      <w:r>
        <w:t xml:space="preserve">7. Practice points</w:t>
      </w:r>
    </w:p>
    <w:p>
      <w:pPr>
        <w:pStyle w:val="Compact"/>
        <w:numPr>
          <w:ilvl w:val="0"/>
          <w:numId w:val="1005"/>
        </w:numPr>
      </w:pPr>
      <w:r>
        <w:t xml:space="preserve">Write down the account, the timeline, and the physical symptoms as soon as possible, and date the record. Keep</w:t>
      </w:r>
      <w:r>
        <w:t xml:space="preserve"> </w:t>
      </w:r>
      <w:r>
        <w:t xml:space="preserve">it separate from later interpretation.</w:t>
      </w:r>
    </w:p>
    <w:p>
      <w:pPr>
        <w:pStyle w:val="Compact"/>
        <w:numPr>
          <w:ilvl w:val="0"/>
          <w:numId w:val="1005"/>
        </w:numPr>
      </w:pPr>
      <w:r>
        <w:t xml:space="preserve">Obtain a medical examination promptly, describing physical findings and symptoms. Request copies of the records.</w:t>
      </w:r>
    </w:p>
    <w:p>
      <w:pPr>
        <w:pStyle w:val="Compact"/>
        <w:numPr>
          <w:ilvl w:val="0"/>
          <w:numId w:val="1005"/>
        </w:numPr>
      </w:pPr>
      <w:r>
        <w:t xml:space="preserve">Make a police report, or record the attempt and the officer’s response. Keep the report number.</w:t>
      </w:r>
    </w:p>
    <w:p>
      <w:pPr>
        <w:pStyle w:val="Compact"/>
        <w:numPr>
          <w:ilvl w:val="0"/>
          <w:numId w:val="1005"/>
        </w:numPr>
      </w:pPr>
      <w:r>
        <w:t xml:space="preserve">Apply for crime victim compensation within the program’s deadline, attaching a factual statement, and appeal a</w:t>
      </w:r>
      <w:r>
        <w:t xml:space="preserve"> </w:t>
      </w:r>
      <w:r>
        <w:t xml:space="preserve">denial in writing (</w:t>
      </w:r>
      <w:hyperlink r:id="rId45">
        <w:r>
          <w:rPr>
            <w:rStyle w:val="Hyperlink"/>
          </w:rPr>
          <w:t xml:space="preserve">Form H1-1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Avoid hypnosis before the account is recorded. If hypnosis is used, record every session in full.</w:t>
      </w:r>
    </w:p>
    <w:p>
      <w:pPr>
        <w:pStyle w:val="Compact"/>
        <w:numPr>
          <w:ilvl w:val="0"/>
          <w:numId w:val="1005"/>
        </w:numPr>
      </w:pPr>
      <w:r>
        <w:t xml:space="preserve">Report to AARO through its public channel so that an official record exists, but do not rely on AARO to</w:t>
      </w:r>
      <w:r>
        <w:t xml:space="preserve"> </w:t>
      </w:r>
      <w:r>
        <w:t xml:space="preserve">investigate; the site treats it as part of the concealment (</w:t>
      </w:r>
      <w:hyperlink r:id="rId46">
        <w:r>
          <w:rPr>
            <w:rStyle w:val="Hyperlink"/>
          </w:rPr>
          <w:t xml:space="preserve">Issue F4</w:t>
        </w:r>
      </w:hyperlink>
      <w:r>
        <w:t xml:space="preserve"> </w:t>
      </w:r>
      <w:r>
        <w:t xml:space="preserve">§2A).</w:t>
      </w:r>
    </w:p>
    <w:p>
      <w:pPr>
        <w:pStyle w:val="Compact"/>
        <w:numPr>
          <w:ilvl w:val="0"/>
          <w:numId w:val="1005"/>
        </w:numPr>
      </w:pPr>
      <w:r>
        <w:t xml:space="preserve">Before seeking mental health care, understand how the records may be used (Issues C5 and H4), and choose</w:t>
      </w:r>
      <w:r>
        <w:t xml:space="preserve"> </w:t>
      </w:r>
      <w:r>
        <w:t xml:space="preserve">providers who will record the experience accurately.</w:t>
      </w:r>
    </w:p>
    <w:p>
      <w:pPr>
        <w:pStyle w:val="Compact"/>
        <w:numPr>
          <w:ilvl w:val="0"/>
          <w:numId w:val="1005"/>
        </w:numPr>
      </w:pPr>
      <w:r>
        <w:t xml:space="preserve">Send FOIA requests and preservation demands for sensor and incident records for the date and place.</w:t>
      </w:r>
    </w:p>
    <w:p>
      <w:r>
        <w:pict>
          <v:rect style="width:0;height:1.5pt" o:hralign="center" o:hrstd="t" o:hr="t"/>
        </w:pict>
      </w:r>
    </w:p>
    <w:bookmarkEnd w:id="47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If NHI Abduct and Injure People: Criminal Law, Government Duties,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40" Type="http://schemas.openxmlformats.org/officeDocument/2006/relationships/hyperlink" Target="https://nhilaw.com/forms/b1-1.html" TargetMode="External"/><Relationship Id="rId45" Type="http://schemas.openxmlformats.org/officeDocument/2006/relationships/hyperlink" Target="https://nhilaw.com/forms/h1-1.html" TargetMode="External"/><Relationship Id="rId41" Type="http://schemas.openxmlformats.org/officeDocument/2006/relationships/hyperlink" Target="https://nhilaw.com/issues/a1.html" TargetMode="External"/><Relationship Id="rId34" Type="http://schemas.openxmlformats.org/officeDocument/2006/relationships/hyperlink" Target="https://nhilaw.com/issues/a4.html" TargetMode="External"/><Relationship Id="rId38" Type="http://schemas.openxmlformats.org/officeDocument/2006/relationships/hyperlink" Target="https://nhilaw.com/issues/c5.html" TargetMode="External"/><Relationship Id="rId30" Type="http://schemas.openxmlformats.org/officeDocument/2006/relationships/hyperlink" Target="https://nhilaw.com/issues/d4.html" TargetMode="External"/><Relationship Id="rId37" Type="http://schemas.openxmlformats.org/officeDocument/2006/relationships/hyperlink" Target="https://nhilaw.com/issues/d5.html" TargetMode="External"/><Relationship Id="rId28" Type="http://schemas.openxmlformats.org/officeDocument/2006/relationships/hyperlink" Target="https://nhilaw.com/issues/d6.html" TargetMode="External"/><Relationship Id="rId21" Type="http://schemas.openxmlformats.org/officeDocument/2006/relationships/hyperlink" Target="https://nhilaw.com/issues/f1.html" TargetMode="External"/><Relationship Id="rId25" Type="http://schemas.openxmlformats.org/officeDocument/2006/relationships/hyperlink" Target="https://nhilaw.com/issues/f2.html" TargetMode="External"/><Relationship Id="rId46" Type="http://schemas.openxmlformats.org/officeDocument/2006/relationships/hyperlink" Target="https://nhilaw.com/issues/f4.html" TargetMode="External"/><Relationship Id="rId43" Type="http://schemas.openxmlformats.org/officeDocument/2006/relationships/hyperlink" Target="https://nhilaw.com/issues/f5.html" TargetMode="External"/><Relationship Id="rId33" Type="http://schemas.openxmlformats.org/officeDocument/2006/relationships/hyperlink" Target="https://nhilaw.com/issues/f6.html" TargetMode="External"/><Relationship Id="rId27" Type="http://schemas.openxmlformats.org/officeDocument/2006/relationships/hyperlink" Target="https://nhilaw.com/issues/h2.html" TargetMode="External"/><Relationship Id="rId22" Type="http://schemas.openxmlformats.org/officeDocument/2006/relationships/hyperlink" Target="https://nhilaw.com/issues/h4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40" Type="http://schemas.openxmlformats.org/officeDocument/2006/relationships/hyperlink" Target="https://nhilaw.com/forms/b1-1.html" TargetMode="External"/><Relationship Id="rId45" Type="http://schemas.openxmlformats.org/officeDocument/2006/relationships/hyperlink" Target="https://nhilaw.com/forms/h1-1.html" TargetMode="External"/><Relationship Id="rId41" Type="http://schemas.openxmlformats.org/officeDocument/2006/relationships/hyperlink" Target="https://nhilaw.com/issues/a1.html" TargetMode="External"/><Relationship Id="rId34" Type="http://schemas.openxmlformats.org/officeDocument/2006/relationships/hyperlink" Target="https://nhilaw.com/issues/a4.html" TargetMode="External"/><Relationship Id="rId38" Type="http://schemas.openxmlformats.org/officeDocument/2006/relationships/hyperlink" Target="https://nhilaw.com/issues/c5.html" TargetMode="External"/><Relationship Id="rId30" Type="http://schemas.openxmlformats.org/officeDocument/2006/relationships/hyperlink" Target="https://nhilaw.com/issues/d4.html" TargetMode="External"/><Relationship Id="rId37" Type="http://schemas.openxmlformats.org/officeDocument/2006/relationships/hyperlink" Target="https://nhilaw.com/issues/d5.html" TargetMode="External"/><Relationship Id="rId28" Type="http://schemas.openxmlformats.org/officeDocument/2006/relationships/hyperlink" Target="https://nhilaw.com/issues/d6.html" TargetMode="External"/><Relationship Id="rId21" Type="http://schemas.openxmlformats.org/officeDocument/2006/relationships/hyperlink" Target="https://nhilaw.com/issues/f1.html" TargetMode="External"/><Relationship Id="rId25" Type="http://schemas.openxmlformats.org/officeDocument/2006/relationships/hyperlink" Target="https://nhilaw.com/issues/f2.html" TargetMode="External"/><Relationship Id="rId46" Type="http://schemas.openxmlformats.org/officeDocument/2006/relationships/hyperlink" Target="https://nhilaw.com/issues/f4.html" TargetMode="External"/><Relationship Id="rId43" Type="http://schemas.openxmlformats.org/officeDocument/2006/relationships/hyperlink" Target="https://nhilaw.com/issues/f5.html" TargetMode="External"/><Relationship Id="rId33" Type="http://schemas.openxmlformats.org/officeDocument/2006/relationships/hyperlink" Target="https://nhilaw.com/issues/f6.html" TargetMode="External"/><Relationship Id="rId27" Type="http://schemas.openxmlformats.org/officeDocument/2006/relationships/hyperlink" Target="https://nhilaw.com/issues/h2.html" TargetMode="External"/><Relationship Id="rId22" Type="http://schemas.openxmlformats.org/officeDocument/2006/relationships/hyperlink" Target="https://nhilaw.com/issues/h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NHI Abduct and Injure People: Criminal Law, Government Duties, Compensation, and Proof</dc:title>
  <dc:creator>nhilaw.com</dc:creator>
  <cp:keywords/>
  <dcterms:created xsi:type="dcterms:W3CDTF">2026-10-19T13:54:06Z</dcterms:created>
  <dcterms:modified xsi:type="dcterms:W3CDTF">2026-10-19T13:54:06Z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nhilaw.com/issues/h1.html</vt:lpwstr>
  </property>
</Properties>
</file>