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MILAB Claims: Abduction, Detention, and Experimentation by Government or Contractor Personnel</w:t>
      </w:r>
    </w:p>
    <w:p>
      <w:pPr>
        <w:pStyle w:val="Subtitle"/>
      </w:pPr>
      <w:r>
        <w:t xml:space="preserve">Version 1.10 · October 2026 · nhilaw.com/issues/h2.html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Premise.</w:t>
      </w:r>
      <w:r>
        <w:t xml:space="preserve"> </w:t>
      </w:r>
      <w:r>
        <w:t xml:space="preserve">“</w:t>
      </w:r>
      <w:r>
        <w:t xml:space="preserve">MILAB</w:t>
      </w:r>
      <w:r>
        <w:t xml:space="preserve">”</w:t>
      </w:r>
      <w:r>
        <w:t xml:space="preserve"> </w:t>
      </w:r>
      <w:r>
        <w:t xml:space="preserve">(military abduction) accounts come from people who report an NHI abduction and also report</w:t>
      </w:r>
      <w:r>
        <w:t xml:space="preserve"> </w:t>
      </w:r>
      <w:r>
        <w:t xml:space="preserve">being taken, held, drugged, questioned, or examined by humans: people in uniform or civilian clothes, sometimes in</w:t>
      </w:r>
      <w:r>
        <w:t xml:space="preserve"> </w:t>
      </w:r>
      <w:r>
        <w:t xml:space="preserve">what appear to be government or contractor facilities. Assume such an account is true. Which criminal, civil, and</w:t>
      </w:r>
      <w:r>
        <w:t xml:space="preserve"> </w:t>
      </w:r>
      <w:r>
        <w:t xml:space="preserve">administrative law applies to the human actors and their agencies, and how do secrecy,</w:t>
      </w:r>
      <w:r>
        <w:t xml:space="preserve"> </w:t>
      </w:r>
      <w:r>
        <w:rPr>
          <w:iCs/>
          <w:i/>
        </w:rPr>
        <w:t xml:space="preserve">Feres</w:t>
      </w:r>
      <w:r>
        <w:t xml:space="preserve">, and the limits on</w:t>
      </w:r>
      <w:r>
        <w:t xml:space="preserve"> </w:t>
      </w:r>
      <w:r>
        <w:t xml:space="preserve">suits against federal officers play out?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The documented programs are the guide: MKULTRA, the Edgewood Arsenal tests, the human radiation experiments, and</w:t>
      </w:r>
      <w:r>
        <w:t xml:space="preserve"> </w:t>
      </w:r>
      <w:r>
        <w:t xml:space="preserve">CIA rendition. The law that grew from them governs a MILAB claim, and a MILAB analysis should rest on them.</w:t>
      </w:r>
    </w:p>
    <w:p>
      <w:pPr>
        <w:pStyle w:val="Compact"/>
        <w:numPr>
          <w:ilvl w:val="0"/>
          <w:numId w:val="1001"/>
        </w:numPr>
      </w:pPr>
      <w:r>
        <w:t xml:space="preserve">Nonconsensual human experimentation by DoD or an intelligence agency violates specific statutes and orders: 50</w:t>
      </w:r>
      <w:r>
        <w:t xml:space="preserve"> </w:t>
      </w:r>
      <w:r>
        <w:t xml:space="preserve">U.S.C. §1520a, 10 U.S.C. §980, Executive Order 12333 §2.10, and the Common Rule.</w:t>
      </w:r>
    </w:p>
    <w:p>
      <w:pPr>
        <w:pStyle w:val="Compact"/>
        <w:numPr>
          <w:ilvl w:val="0"/>
          <w:numId w:val="1001"/>
        </w:numPr>
      </w:pPr>
      <w:r>
        <w:t xml:space="preserve">The strongest remedy found is an order for notice and medical care: an Army regulation obliges the Army to tell</w:t>
      </w:r>
      <w:r>
        <w:t xml:space="preserve"> </w:t>
      </w:r>
      <w:r>
        <w:t xml:space="preserve">former test subjects of new health information and to provide care for injuries from the experiments, and the</w:t>
      </w:r>
      <w:r>
        <w:t xml:space="preserve"> </w:t>
      </w:r>
      <w:r>
        <w:t xml:space="preserve">Ninth Circuit enforced both duties under the APA (</w:t>
      </w:r>
      <w:r>
        <w:rPr>
          <w:iCs/>
          <w:i/>
        </w:rPr>
        <w:t xml:space="preserve">Vietnam Veterans of America v. CIA</w:t>
      </w:r>
      <w:r>
        <w:t xml:space="preserve">, 2016).</w:t>
      </w:r>
    </w:p>
    <w:p>
      <w:pPr>
        <w:pStyle w:val="Compact"/>
        <w:numPr>
          <w:ilvl w:val="0"/>
          <w:numId w:val="1001"/>
        </w:numPr>
      </w:pPr>
      <w:r>
        <w:t xml:space="preserve">Damages are hard to get. The FTCA excludes battery and false imprisonment by federal employees who are not law</w:t>
      </w:r>
      <w:r>
        <w:t xml:space="preserve"> </w:t>
      </w:r>
      <w:r>
        <w:t xml:space="preserve">enforcement officers, and courts have held that CIA personnel and soldiers acting as soldiers are not.</w:t>
      </w:r>
      <w:r>
        <w:t xml:space="preserve"> </w:t>
      </w:r>
      <w:r>
        <w:rPr>
          <w:iCs/>
          <w:i/>
        </w:rPr>
        <w:t xml:space="preserve">Bivens</w:t>
      </w:r>
      <w:r>
        <w:t xml:space="preserve"> </w:t>
      </w:r>
      <w:r>
        <w:t xml:space="preserve">is effectively closed (</w:t>
      </w:r>
      <w:r>
        <w:rPr>
          <w:iCs/>
          <w:i/>
        </w:rPr>
        <w:t xml:space="preserve">Egbert</w:t>
      </w:r>
      <w:r>
        <w:t xml:space="preserve">). Service members face</w:t>
      </w:r>
      <w:r>
        <w:t xml:space="preserve"> </w:t>
      </w:r>
      <w:r>
        <w:rPr>
          <w:iCs/>
          <w:i/>
        </w:rPr>
        <w:t xml:space="preserve">Feres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Stanley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Contractors are the most reachable defendants. Contract psychologists for the CIA interrogation program were sued,</w:t>
      </w:r>
      <w:r>
        <w:t xml:space="preserve"> </w:t>
      </w:r>
      <w:r>
        <w:t xml:space="preserve">survived dismissal and summary judgment, and settled (</w:t>
      </w:r>
      <w:r>
        <w:rPr>
          <w:iCs/>
          <w:i/>
        </w:rPr>
        <w:t xml:space="preserve">Salim v. Mitchell</w:t>
      </w:r>
      <w:r>
        <w:t xml:space="preserve">). State tort claims against</w:t>
      </w:r>
      <w:r>
        <w:t xml:space="preserve"> </w:t>
      </w:r>
      <w:r>
        <w:t xml:space="preserve">contractors are open where the government did not require the conduct (</w:t>
      </w:r>
      <w:r>
        <w:rPr>
          <w:iCs/>
          <w:i/>
        </w:rPr>
        <w:t xml:space="preserve">Hencely</w:t>
      </w:r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Issue A1</w:t>
        </w:r>
      </w:hyperlink>
      <w:r>
        <w:t xml:space="preserve"> </w:t>
      </w:r>
      <w:r>
        <w:t xml:space="preserve">§8).</w:t>
      </w:r>
    </w:p>
    <w:p>
      <w:pPr>
        <w:pStyle w:val="Compact"/>
        <w:numPr>
          <w:ilvl w:val="0"/>
          <w:numId w:val="1001"/>
        </w:numPr>
      </w:pPr>
      <w:r>
        <w:t xml:space="preserve">Proof decides these cases. In</w:t>
      </w:r>
      <w:r>
        <w:t xml:space="preserve"> </w:t>
      </w:r>
      <w:r>
        <w:rPr>
          <w:iCs/>
          <w:i/>
        </w:rPr>
        <w:t xml:space="preserve">Ritchie v. United States</w:t>
      </w:r>
      <w:r>
        <w:t xml:space="preserve"> </w:t>
      </w:r>
      <w:r>
        <w:t xml:space="preserve">(N.D. Cal. 2005), the government admitted that CIA</w:t>
      </w:r>
      <w:r>
        <w:t xml:space="preserve"> </w:t>
      </w:r>
      <w:r>
        <w:t xml:space="preserve">operatives were secretly dosing people with LSD in San Francisco in December 1957, and the plaintiff still lost</w:t>
      </w:r>
      <w:r>
        <w:t xml:space="preserve"> </w:t>
      </w:r>
      <w:r>
        <w:t xml:space="preserve">because he could not prove that he was dosed, or by whom.</w:t>
      </w:r>
    </w:p>
    <w:p>
      <w:r>
        <w:pict>
          <v:rect style="width:0;height:1.5pt" o:hralign="center" o:hrstd="t" o:hr="t"/>
        </w:pict>
      </w:r>
    </w:p>
    <w:bookmarkEnd w:id="22"/>
    <w:bookmarkStart w:id="23" w:name="summary"/>
    <w:p>
      <w:pPr>
        <w:pStyle w:val="Heading2"/>
      </w:pPr>
      <w:r>
        <w:t xml:space="preserve">1. Summary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Defendant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Claim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obstacle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States (civilian plaintiff)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FTCA negligence, negligent supervision, failure to warn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Discretionary function; §2680(h) for intentional torts; state secrets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Orlikow</w:t>
            </w:r>
            <w:r>
              <w:t xml:space="preserve">;</w:t>
            </w:r>
            <w:r>
              <w:t xml:space="preserve"> </w:t>
            </w:r>
            <w:r>
              <w:rPr>
                <w:iCs/>
                <w:i/>
              </w:rPr>
              <w:t xml:space="preserve">Ritchie</w:t>
            </w:r>
            <w:r>
              <w:t xml:space="preserve">;</w:t>
            </w:r>
            <w:r>
              <w:t xml:space="preserve"> </w:t>
            </w:r>
            <w:r>
              <w:rPr>
                <w:iCs/>
                <w:i/>
              </w:rPr>
              <w:t xml:space="preserve">Kronisch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United States (service member)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FTCA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Feres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 benefits and APA claims remain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Army or DoD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APA §706(1) to compel notice and medical care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Must find a specific mandatory rule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Vietnam Veterans of America v. CIA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Individual federal officers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Bivens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Egbert</w:t>
            </w:r>
            <w:r>
              <w:t xml:space="preserve">;</w:t>
            </w:r>
            <w:r>
              <w:t xml:space="preserve"> </w:t>
            </w:r>
            <w:r>
              <w:rPr>
                <w:iCs/>
                <w:i/>
              </w:rPr>
              <w:t xml:space="preserve">Stanley</w:t>
            </w:r>
            <w:r>
              <w:t xml:space="preserve"> </w:t>
            </w:r>
            <w:r>
              <w:t xml:space="preserve">for service members; qualified immunity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Effectively closed for new contexts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Individual federal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torts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Westfall Act substitution of the United States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Constitutional claims are excepted from substitution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Contractors and their employees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torts; ATS (closed for new claims)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Boyle</w:t>
            </w:r>
            <w:r>
              <w:t xml:space="preserve">,</w:t>
            </w:r>
            <w:r>
              <w:t xml:space="preserve"> </w:t>
            </w:r>
            <w:r>
              <w:rPr>
                <w:iCs/>
                <w:i/>
              </w:rPr>
              <w:t xml:space="preserve">Yearsley</w:t>
            </w:r>
            <w:r>
              <w:t xml:space="preserve">, preemption; state secrets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Salim</w:t>
            </w:r>
            <w:r>
              <w:t xml:space="preserve">;</w:t>
            </w:r>
            <w:r>
              <w:t xml:space="preserve"> </w:t>
            </w:r>
            <w:r>
              <w:rPr>
                <w:iCs/>
                <w:i/>
              </w:rPr>
              <w:t xml:space="preserve">Hencely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State or local police who took part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 U.S.C. §1983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Qualified immunity; limitations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Any federal 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Criminal referral: 18 U.S.C. §§241, 242, 1201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Prosecutorial discretion; limitations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3"/>
    <w:bookmarkStart w:id="24" w:name="the-documented-precedents"/>
    <w:p>
      <w:pPr>
        <w:pStyle w:val="Heading2"/>
      </w:pPr>
      <w:r>
        <w:t xml:space="preserve">2. The documented precedents</w:t>
      </w:r>
    </w:p>
    <w:p>
      <w:pPr>
        <w:pStyle w:val="FirstParagraph"/>
      </w:pPr>
      <w:r>
        <w:rPr>
          <w:bCs/>
          <w:b/>
        </w:rPr>
        <w:t xml:space="preserve">MKULTRA.</w:t>
      </w:r>
      <w:r>
        <w:t xml:space="preserve"> </w:t>
      </w:r>
      <w:r>
        <w:t xml:space="preserve">From the early 1950s into the 1960s the CIA funded behavioral research, including the administration</w:t>
      </w:r>
      <w:r>
        <w:t xml:space="preserve"> </w:t>
      </w:r>
      <w:r>
        <w:t xml:space="preserve">of LSD to people who did not know they were being dosed. Most program records were destroyed in 1973. The</w:t>
      </w:r>
      <w:r>
        <w:t xml:space="preserve"> </w:t>
      </w:r>
      <w:r>
        <w:t xml:space="preserve">program is described in the Church Committee’s Final Report (1976) and in the Senate hearing</w:t>
      </w:r>
      <w:r>
        <w:t xml:space="preserve"> </w:t>
      </w:r>
      <w:r>
        <w:rPr>
          <w:iCs/>
          <w:i/>
        </w:rPr>
        <w:t xml:space="preserve">Project MKULTRA, the</w:t>
      </w:r>
      <w:r>
        <w:rPr>
          <w:iCs/>
          <w:i/>
        </w:rPr>
        <w:t xml:space="preserve"> </w:t>
      </w:r>
      <w:r>
        <w:rPr>
          <w:iCs/>
          <w:i/>
        </w:rPr>
        <w:t xml:space="preserve">CIA’s Program of Research in Behavioral Modification</w:t>
      </w:r>
      <w:r>
        <w:t xml:space="preserve"> </w:t>
      </w:r>
      <w:r>
        <w:t xml:space="preserve">(1977).</w:t>
      </w:r>
    </w:p>
    <w:p>
      <w:pPr>
        <w:pStyle w:val="Compact"/>
        <w:numPr>
          <w:ilvl w:val="0"/>
          <w:numId w:val="1002"/>
        </w:numPr>
      </w:pPr>
      <w:r>
        <w:rPr>
          <w:iCs/>
          <w:i/>
        </w:rPr>
        <w:t xml:space="preserve">Orlikow v. United States</w:t>
      </w:r>
      <w:r>
        <w:t xml:space="preserve">, 682 F. Supp. 77 (D.D.C. 1988): FTCA claims by Canadian patients treated in</w:t>
      </w:r>
      <w:r>
        <w:t xml:space="preserve"> </w:t>
      </w:r>
      <w:r>
        <w:t xml:space="preserve">CIA-funded experiments by Dr. Ewen Cameron, alleging negligent supervision and reckless funding of hazardous</w:t>
      </w:r>
      <w:r>
        <w:t xml:space="preserve"> </w:t>
      </w:r>
      <w:r>
        <w:t xml:space="preserve">experiments; the case settled.</w:t>
      </w:r>
    </w:p>
    <w:p>
      <w:pPr>
        <w:pStyle w:val="Compact"/>
        <w:numPr>
          <w:ilvl w:val="0"/>
          <w:numId w:val="1002"/>
        </w:numPr>
      </w:pPr>
      <w:r>
        <w:rPr>
          <w:iCs/>
          <w:i/>
        </w:rPr>
        <w:t xml:space="preserve">Kronisch v. United States</w:t>
      </w:r>
      <w:r>
        <w:t xml:space="preserve">, 150 F.3d 112, 126-28 (2d Cir. 1998): the CIA had a duty to preserve MKULTRA records</w:t>
      </w:r>
      <w:r>
        <w:t xml:space="preserve"> </w:t>
      </w:r>
      <w:r>
        <w:t xml:space="preserve">once litigation was foreseeable, and their destruction can support an adverse inference that, together with</w:t>
      </w:r>
      <w:r>
        <w:t xml:space="preserve"> </w:t>
      </w:r>
      <w:r>
        <w:t xml:space="preserve">other evidence, may let a claim survive summary judgment.</w:t>
      </w:r>
    </w:p>
    <w:p>
      <w:pPr>
        <w:pStyle w:val="Compact"/>
        <w:numPr>
          <w:ilvl w:val="0"/>
          <w:numId w:val="1002"/>
        </w:numPr>
      </w:pPr>
      <w:r>
        <w:rPr>
          <w:iCs/>
          <w:i/>
        </w:rPr>
        <w:t xml:space="preserve">Ritchie v. United States</w:t>
      </w:r>
      <w:r>
        <w:t xml:space="preserve">, 210 F. Supp. 2d 1120 (N.D. Cal. 2002): an FTCA claim by a former deputy U.S. marshal</w:t>
      </w:r>
      <w:r>
        <w:t xml:space="preserve"> </w:t>
      </w:r>
      <w:r>
        <w:t xml:space="preserve">was timely, because it accrued when he learned of MKULTRA in the late 1990s. At trial the government admitted</w:t>
      </w:r>
      <w:r>
        <w:t xml:space="preserve"> </w:t>
      </w:r>
      <w:r>
        <w:t xml:space="preserve">that CIA operatives in San Francisco were dosing people with LSD without consent in December 1957. The court</w:t>
      </w:r>
      <w:r>
        <w:t xml:space="preserve"> </w:t>
      </w:r>
      <w:r>
        <w:t xml:space="preserve">still entered judgment for the government: the plaintiff did not prove that he ingested LSD at a federal</w:t>
      </w:r>
      <w:r>
        <w:t xml:space="preserve"> </w:t>
      </w:r>
      <w:r>
        <w:t xml:space="preserve">Christmas party, that a federal agent dosed him, or that LSD caused his conduct, and the destruction of the</w:t>
      </w:r>
      <w:r>
        <w:t xml:space="preserve"> </w:t>
      </w:r>
      <w:r>
        <w:t xml:space="preserve">files did not replace that proof at trial.</w:t>
      </w:r>
      <w:r>
        <w:t xml:space="preserve"> </w:t>
      </w:r>
      <w:r>
        <w:rPr>
          <w:iCs/>
          <w:i/>
        </w:rPr>
        <w:t xml:space="preserve">Ritchie v. United States</w:t>
      </w:r>
      <w:r>
        <w:t xml:space="preserve">, 2005 WL 8166165, at *5-10 (N.D. Cal.</w:t>
      </w:r>
      <w:r>
        <w:t xml:space="preserve"> </w:t>
      </w:r>
      <w:r>
        <w:t xml:space="preserve">July 5, 2005), aff’d, 451 F.3d 1019 (9th Cir. 2006).</w:t>
      </w:r>
    </w:p>
    <w:p>
      <w:pPr>
        <w:pStyle w:val="Compact"/>
        <w:numPr>
          <w:ilvl w:val="0"/>
          <w:numId w:val="1002"/>
        </w:numPr>
      </w:pPr>
      <w:r>
        <w:rPr>
          <w:iCs/>
          <w:i/>
        </w:rPr>
        <w:t xml:space="preserve">CIA v. Sims</w:t>
      </w:r>
      <w:r>
        <w:t xml:space="preserve">, 471 U.S. 159 (1985): the names of MKULTRA researchers and institutions were protected from FOIA</w:t>
      </w:r>
      <w:r>
        <w:t xml:space="preserve"> </w:t>
      </w:r>
      <w:r>
        <w:t xml:space="preserve">disclosure as intelligence sources.</w:t>
      </w:r>
    </w:p>
    <w:p>
      <w:pPr>
        <w:pStyle w:val="FirstParagraph"/>
      </w:pPr>
      <w:r>
        <w:rPr>
          <w:bCs/>
          <w:b/>
        </w:rPr>
        <w:t xml:space="preserve">Military test subjects.</w:t>
      </w:r>
    </w:p>
    <w:p>
      <w:pPr>
        <w:pStyle w:val="Compact"/>
        <w:numPr>
          <w:ilvl w:val="0"/>
          <w:numId w:val="1003"/>
        </w:numPr>
      </w:pPr>
      <w:r>
        <w:rPr>
          <w:iCs/>
          <w:i/>
        </w:rPr>
        <w:t xml:space="preserve">United States v. Stanley</w:t>
      </w:r>
      <w:r>
        <w:t xml:space="preserve">, 483 U.S. 669 (1987): a soldier secretly given LSD in an Army program had no</w:t>
      </w:r>
      <w:r>
        <w:t xml:space="preserve"> </w:t>
      </w:r>
      <w:r>
        <w:rPr>
          <w:iCs/>
          <w:i/>
        </w:rPr>
        <w:t xml:space="preserve">Bivens</w:t>
      </w:r>
      <w:r>
        <w:t xml:space="preserve"> </w:t>
      </w:r>
      <w:r>
        <w:t xml:space="preserve">claim, because the injury arose incident to service. Justice O’Connor would have allowed the claim for conduct</w:t>
      </w:r>
      <w:r>
        <w:t xml:space="preserve"> </w:t>
      </w:r>
      <w:r>
        <w:t xml:space="preserve">so far beyond human decency that no military purpose could excuse it.</w:t>
      </w:r>
    </w:p>
    <w:p>
      <w:pPr>
        <w:pStyle w:val="Compact"/>
        <w:numPr>
          <w:ilvl w:val="0"/>
          <w:numId w:val="1003"/>
        </w:numPr>
      </w:pPr>
      <w:r>
        <w:rPr>
          <w:iCs/>
          <w:i/>
        </w:rPr>
        <w:t xml:space="preserve">Vietnam Veterans of America v. CIA</w:t>
      </w:r>
      <w:r>
        <w:t xml:space="preserve">, 811 F.3d 1068 (9th Cir. 2016): veterans exposed to chemical and biological</w:t>
      </w:r>
      <w:r>
        <w:t xml:space="preserve"> </w:t>
      </w:r>
      <w:r>
        <w:t xml:space="preserve">agents at Edgewood Arsenal and in earlier programs sued the Army, DoD, and CIA. Army Regulation 70-25 requires</w:t>
      </w:r>
      <w:r>
        <w:t xml:space="preserve"> </w:t>
      </w:r>
      <w:r>
        <w:t xml:space="preserve">commanders to give research volunteers</w:t>
      </w:r>
      <w:r>
        <w:t xml:space="preserve"> </w:t>
      </w:r>
      <w:r>
        <w:t xml:space="preserve">“</w:t>
      </w:r>
      <w:r>
        <w:t xml:space="preserve">any newly acquired information that may affect their well-being,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the 1990 revision applies expressly to deliberate exposure to chemical and biological agents. That duty runs to</w:t>
      </w:r>
      <w:r>
        <w:t xml:space="preserve"> </w:t>
      </w:r>
      <w:r>
        <w:t xml:space="preserve">former subjects and is enforceable under APA §706(1).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1075-77, 1082-83. The regulation’s provision that</w:t>
      </w:r>
      <w:r>
        <w:t xml:space="preserve"> </w:t>
      </w:r>
      <w:r>
        <w:t xml:space="preserve">volunteers</w:t>
      </w:r>
      <w:r>
        <w:t xml:space="preserve"> </w:t>
      </w:r>
      <w:r>
        <w:t xml:space="preserve">“</w:t>
      </w:r>
      <w:r>
        <w:t xml:space="preserve">are authorized all necessary medical care</w:t>
      </w:r>
      <w:r>
        <w:t xml:space="preserve">”</w:t>
      </w:r>
      <w:r>
        <w:t xml:space="preserve"> </w:t>
      </w:r>
      <w:r>
        <w:t xml:space="preserve">imposes a duty to provide care for injuries proximately</w:t>
      </w:r>
      <w:r>
        <w:t xml:space="preserve"> </w:t>
      </w:r>
      <w:r>
        <w:t xml:space="preserve">caused by the experiments, and the Army is not excused because the VA provides some care.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1080-83.</w:t>
      </w:r>
    </w:p>
    <w:p>
      <w:pPr>
        <w:pStyle w:val="Compact"/>
        <w:numPr>
          <w:ilvl w:val="0"/>
          <w:numId w:val="1003"/>
        </w:numPr>
      </w:pPr>
      <w:r>
        <w:rPr>
          <w:iCs/>
          <w:i/>
        </w:rPr>
        <w:t xml:space="preserve">Taylor v. McDonough</w:t>
      </w:r>
      <w:r>
        <w:t xml:space="preserve">, 71 F.4th 909 (Fed. Cir. 2023) (en banc): an Edgewood volunteer had been sworn to secrecy</w:t>
      </w:r>
      <w:r>
        <w:t xml:space="preserve"> </w:t>
      </w:r>
      <w:r>
        <w:t xml:space="preserve">under threat of prosecution and so did not claim VA benefits for decades. The court held that the oath and the</w:t>
      </w:r>
      <w:r>
        <w:t xml:space="preserve"> </w:t>
      </w:r>
      <w:r>
        <w:t xml:space="preserve">threat denied him access to the VA claims process in violation of due process, that the statutory effective-date</w:t>
      </w:r>
      <w:r>
        <w:t xml:space="preserve"> </w:t>
      </w:r>
      <w:r>
        <w:t xml:space="preserve">limits were unconstitutional as applied to him, and that he was entitled to the effective date he would have had</w:t>
      </w:r>
      <w:r>
        <w:t xml:space="preserve"> </w:t>
      </w:r>
      <w:r>
        <w:t xml:space="preserve">without that denial. A MILAB claimant who was told by officials to keep silent can use the same reasoning against</w:t>
      </w:r>
      <w:r>
        <w:t xml:space="preserve"> </w:t>
      </w:r>
      <w:r>
        <w:t xml:space="preserve">time limits.</w:t>
      </w:r>
    </w:p>
    <w:p>
      <w:pPr>
        <w:pStyle w:val="Compact"/>
        <w:numPr>
          <w:ilvl w:val="0"/>
          <w:numId w:val="1003"/>
        </w:numPr>
      </w:pPr>
      <w:r>
        <w:t xml:space="preserve">Human radiation experiments: the Advisory Committee on Human Radiation Experiments,</w:t>
      </w:r>
      <w:r>
        <w:t xml:space="preserve"> </w:t>
      </w:r>
      <w:r>
        <w:rPr>
          <w:iCs/>
          <w:i/>
        </w:rPr>
        <w:t xml:space="preserve">Final Report</w:t>
      </w:r>
      <w:r>
        <w:t xml:space="preserve"> </w:t>
      </w:r>
      <w:r>
        <w:t xml:space="preserve">(1995);</w:t>
      </w:r>
      <w:r>
        <w:t xml:space="preserve"> </w:t>
      </w:r>
      <w:r>
        <w:rPr>
          <w:iCs/>
          <w:i/>
        </w:rPr>
        <w:t xml:space="preserve">In re</w:t>
      </w:r>
      <w:r>
        <w:rPr>
          <w:iCs/>
          <w:i/>
        </w:rPr>
        <w:t xml:space="preserve"> </w:t>
      </w:r>
      <w:r>
        <w:rPr>
          <w:iCs/>
          <w:i/>
        </w:rPr>
        <w:t xml:space="preserve">Cincinnati Radiation Litigation</w:t>
      </w:r>
      <w:r>
        <w:t xml:space="preserve">, 874 F. Supp. 796 (S.D. Ohio 1995) (claims against officials for whole-body</w:t>
      </w:r>
      <w:r>
        <w:t xml:space="preserve"> </w:t>
      </w:r>
      <w:r>
        <w:t xml:space="preserve">radiation of patients without informed consent survived dismissal).</w:t>
      </w:r>
    </w:p>
    <w:p>
      <w:pPr>
        <w:pStyle w:val="FirstParagraph"/>
      </w:pPr>
      <w:r>
        <w:rPr>
          <w:bCs/>
          <w:b/>
        </w:rPr>
        <w:t xml:space="preserve">Rendition and interrogation.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El-Masri v. United States</w:t>
      </w:r>
      <w:r>
        <w:t xml:space="preserve">, 479 F.3d 296 (4th Cir. 2007), and</w:t>
      </w:r>
      <w:r>
        <w:t xml:space="preserve"> </w:t>
      </w:r>
      <w:r>
        <w:rPr>
          <w:iCs/>
          <w:i/>
        </w:rPr>
        <w:t xml:space="preserve">Mohamed v. Jeppesen Dataplan, Inc.</w:t>
      </w:r>
      <w:r>
        <w:t xml:space="preserve">, 614 F.3d 1070</w:t>
      </w:r>
      <w:r>
        <w:t xml:space="preserve"> </w:t>
      </w:r>
      <w:r>
        <w:t xml:space="preserve">(9th Cir. 2010) (en banc): claims arising from CIA rendition dismissed under the state secrets privilege.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Arar v. Ashcroft</w:t>
      </w:r>
      <w:r>
        <w:t xml:space="preserve">, 585 F.3d 559 (2d Cir. 2009) (en banc): no</w:t>
      </w:r>
      <w:r>
        <w:t xml:space="preserve"> </w:t>
      </w:r>
      <w:r>
        <w:rPr>
          <w:iCs/>
          <w:i/>
        </w:rPr>
        <w:t xml:space="preserve">Bivens</w:t>
      </w:r>
      <w:r>
        <w:t xml:space="preserve"> </w:t>
      </w:r>
      <w:r>
        <w:t xml:space="preserve">remedy for extraordinary rendition.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Salim v. Mitchell</w:t>
      </w:r>
      <w:r>
        <w:t xml:space="preserve">, 183 F. Supp. 3d 1121 (E.D. Wash. 2016) (motion to dismiss denied), and 268 F. Supp. 3d 1132</w:t>
      </w:r>
      <w:r>
        <w:t xml:space="preserve"> </w:t>
      </w:r>
      <w:r>
        <w:t xml:space="preserve">(E.D. Wash. 2017) (summary judgment denied): former detainees sued the two psychologists who designed and helped</w:t>
      </w:r>
      <w:r>
        <w:t xml:space="preserve"> </w:t>
      </w:r>
      <w:r>
        <w:t xml:space="preserve">run the CIA’s interrogation program under contract; the case settled in August 2017.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United States v. Zubaydah</w:t>
      </w:r>
      <w:r>
        <w:t xml:space="preserve">, 595 U.S. 195 (2022): the state secrets privilege barred discovery that would</w:t>
      </w:r>
      <w:r>
        <w:t xml:space="preserve"> </w:t>
      </w:r>
      <w:r>
        <w:t xml:space="preserve">confirm the location of a CIA detention site, even though the location had been widely reported.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Husayn v. Mitchell</w:t>
      </w:r>
      <w:r>
        <w:t xml:space="preserve">, 142 F.4th 667 (9th Cir. 2025): the same psychologists were the CIA’s agents under ordinary</w:t>
      </w:r>
      <w:r>
        <w:t xml:space="preserve"> </w:t>
      </w:r>
      <w:r>
        <w:t xml:space="preserve">agency principles, because the CIA authorized their work, could control it, and ratified it; a statute barring</w:t>
      </w:r>
      <w:r>
        <w:t xml:space="preserve"> </w:t>
      </w:r>
      <w:r>
        <w:t xml:space="preserve">suits by designated enemy combatants against the United States</w:t>
      </w:r>
      <w:r>
        <w:t xml:space="preserve"> </w:t>
      </w:r>
      <w:r>
        <w:t xml:space="preserve">“</w:t>
      </w:r>
      <w:r>
        <w:t xml:space="preserve">or its agents</w:t>
      </w:r>
      <w:r>
        <w:t xml:space="preserve">”</w:t>
      </w:r>
      <w:r>
        <w:t xml:space="preserve"> </w:t>
      </w:r>
      <w:r>
        <w:t xml:space="preserve">therefore applied. The</w:t>
      </w:r>
      <w:r>
        <w:t xml:space="preserve"> </w:t>
      </w:r>
      <w:r>
        <w:t xml:space="preserve">jurisdictional bar is limited to enemy combatants, but the agency holding will be cited by both sides in any</w:t>
      </w:r>
      <w:r>
        <w:t xml:space="preserve"> </w:t>
      </w:r>
      <w:r>
        <w:t xml:space="preserve">contractor case.</w:t>
      </w:r>
    </w:p>
    <w:p>
      <w:r>
        <w:pict>
          <v:rect style="width:0;height:1.5pt" o:hralign="center" o:hrstd="t" o:hr="t"/>
        </w:pict>
      </w:r>
    </w:p>
    <w:bookmarkEnd w:id="24"/>
    <w:bookmarkStart w:id="25" w:name="statutes-and-rules-on-human-subjects"/>
    <w:p>
      <w:pPr>
        <w:pStyle w:val="Heading2"/>
      </w:pPr>
      <w:r>
        <w:t xml:space="preserve">3. Statutes and rules on human subjects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50 U.S.C. §1520a</w:t>
      </w:r>
      <w:r>
        <w:t xml:space="preserve"> </w:t>
      </w:r>
      <w:r>
        <w:t xml:space="preserve">limits DoD testing of chemical or biological agents on human subjects and requires informed</w:t>
      </w:r>
      <w:r>
        <w:t xml:space="preserve"> </w:t>
      </w:r>
      <w:r>
        <w:t xml:space="preserve">consent from each subject for the permitted tests.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10 U.S.C. §980</w:t>
      </w:r>
      <w:r>
        <w:t xml:space="preserve"> </w:t>
      </w:r>
      <w:r>
        <w:t xml:space="preserve">bars the use of DoD funds for research on a human being as an experimental subject unless the</w:t>
      </w:r>
      <w:r>
        <w:t xml:space="preserve"> </w:t>
      </w:r>
      <w:r>
        <w:t xml:space="preserve">subject’s informed consent is obtained in advance, subject to narrow exceptions.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Executive Order 12333 §2.10</w:t>
      </w:r>
      <w:r>
        <w:t xml:space="preserve"> </w:t>
      </w:r>
      <w:r>
        <w:t xml:space="preserve">forbids intelligence community elements to sponsor, contract for, or conduct</w:t>
      </w:r>
      <w:r>
        <w:t xml:space="preserve"> </w:t>
      </w:r>
      <w:r>
        <w:t xml:space="preserve">research on human subjects except under HHS guidelines, with documented informed consent.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The Common Rule</w:t>
      </w:r>
      <w:r>
        <w:t xml:space="preserve">, 45 C.F.R. part 46, and DoD’s version, 32 C.F.R. part 219, require review board approval and</w:t>
      </w:r>
      <w:r>
        <w:t xml:space="preserve"> </w:t>
      </w:r>
      <w:r>
        <w:t xml:space="preserve">informed consent.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Army Regulation 70-25</w:t>
      </w:r>
      <w:r>
        <w:t xml:space="preserve"> </w:t>
      </w:r>
      <w:r>
        <w:t xml:space="preserve">(</w:t>
      </w:r>
      <w:r>
        <w:rPr>
          <w:iCs/>
          <w:i/>
        </w:rPr>
        <w:t xml:space="preserve">Vietnam Veterans of America</w:t>
      </w:r>
      <w:r>
        <w:t xml:space="preserve">, above) and successor DoD instructions on the protection of</w:t>
      </w:r>
      <w:r>
        <w:t xml:space="preserve"> </w:t>
      </w:r>
      <w:r>
        <w:t xml:space="preserve">human subjects. Counsel should identify the regulation in force when the client’s events occurred, because the</w:t>
      </w:r>
      <w:r>
        <w:t xml:space="preserve"> </w:t>
      </w:r>
      <w:r>
        <w:t xml:space="preserve">APA remedy depends on finding a specific mandatory command.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International standards</w:t>
      </w:r>
      <w:r>
        <w:t xml:space="preserve">: the Nuremberg Code; ICCPR art. 7 (</w:t>
      </w:r>
      <w:r>
        <w:t xml:space="preserve">“</w:t>
      </w:r>
      <w:r>
        <w:t xml:space="preserve">no one shall be subjected without his free</w:t>
      </w:r>
      <w:r>
        <w:t xml:space="preserve"> </w:t>
      </w:r>
      <w:r>
        <w:t xml:space="preserve">consent to medical or scientific experimentation</w:t>
      </w:r>
      <w:r>
        <w:t xml:space="preserve">”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25"/>
    <w:bookmarkStart w:id="27" w:name="criminal-law"/>
    <w:p>
      <w:pPr>
        <w:pStyle w:val="Heading2"/>
      </w:pPr>
      <w:r>
        <w:t xml:space="preserve">4. Criminal law</w:t>
      </w:r>
    </w:p>
    <w:p>
      <w:pPr>
        <w:pStyle w:val="FirstParagraph"/>
      </w:pPr>
      <w:r>
        <w:t xml:space="preserve">A federal officer who kidnaps, detains, or injures a person without lawful authority can be prosecuted like</w:t>
      </w:r>
      <w:r>
        <w:t xml:space="preserve"> </w:t>
      </w:r>
      <w:r>
        <w:t xml:space="preserve">anyone else. Relevant statutes are 18 U.S.C. §1201 (kidnapping), §241 (conspiracy against rights), §242</w:t>
      </w:r>
      <w:r>
        <w:t xml:space="preserve"> </w:t>
      </w:r>
      <w:r>
        <w:t xml:space="preserve">(deprivation of rights under color of law), and state law. Section 242 provides enhanced penalties where the</w:t>
      </w:r>
      <w:r>
        <w:t xml:space="preserve"> </w:t>
      </w:r>
      <w:r>
        <w:t xml:space="preserve">violation includes kidnapping. The general federal limitations period is five years, 18 U.S.C. §3282. Referrals</w:t>
      </w:r>
      <w:r>
        <w:t xml:space="preserve"> </w:t>
      </w:r>
      <w:r>
        <w:t xml:space="preserve">go to the FBI, the agency’s inspector general, and the Civil Rights Division (</w:t>
      </w:r>
      <w:hyperlink r:id="rId26">
        <w:r>
          <w:rPr>
            <w:rStyle w:val="Hyperlink"/>
          </w:rPr>
          <w:t xml:space="preserve">Issue D3</w:t>
        </w:r>
      </w:hyperlink>
      <w:r>
        <w:t xml:space="preserve">). In practice a referral</w:t>
      </w:r>
      <w:r>
        <w:t xml:space="preserve"> </w:t>
      </w:r>
      <w:r>
        <w:t xml:space="preserve">will not be pursued without evidence identifying the people and the facility.</w:t>
      </w:r>
    </w:p>
    <w:p>
      <w:r>
        <w:pict>
          <v:rect style="width:0;height:1.5pt" o:hralign="center" o:hrstd="t" o:hr="t"/>
        </w:pict>
      </w:r>
    </w:p>
    <w:bookmarkEnd w:id="27"/>
    <w:bookmarkStart w:id="34" w:name="civil-remedies"/>
    <w:p>
      <w:pPr>
        <w:pStyle w:val="Heading2"/>
      </w:pPr>
      <w:r>
        <w:t xml:space="preserve">5. Civil remedies</w:t>
      </w:r>
    </w:p>
    <w:bookmarkStart w:id="29" w:name="ftca"/>
    <w:p>
      <w:pPr>
        <w:pStyle w:val="Heading3"/>
      </w:pPr>
      <w:r>
        <w:t xml:space="preserve">5.1 FTCA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Intentional torts.</w:t>
      </w:r>
      <w:r>
        <w:t xml:space="preserve"> </w:t>
      </w:r>
      <w:r>
        <w:t xml:space="preserve">The FTCA does not waive immunity for assault, battery, or false imprisonment, except when</w:t>
      </w:r>
      <w:r>
        <w:t xml:space="preserve"> </w:t>
      </w:r>
      <w:r>
        <w:t xml:space="preserve">committed by</w:t>
      </w:r>
      <w:r>
        <w:t xml:space="preserve"> </w:t>
      </w:r>
      <w:r>
        <w:t xml:space="preserve">“</w:t>
      </w:r>
      <w:r>
        <w:t xml:space="preserve">investigative or law enforcement officers.</w:t>
      </w:r>
      <w:r>
        <w:t xml:space="preserve">”</w:t>
      </w:r>
      <w:r>
        <w:t xml:space="preserve"> </w:t>
      </w:r>
      <w:r>
        <w:t xml:space="preserve">28 U.S.C. §2680(h). The proviso covers such officers</w:t>
      </w:r>
      <w:r>
        <w:t xml:space="preserve"> </w:t>
      </w:r>
      <w:r>
        <w:t xml:space="preserve">whenever they act within the scope of their employment.</w:t>
      </w:r>
      <w:r>
        <w:t xml:space="preserve"> </w:t>
      </w:r>
      <w:r>
        <w:rPr>
          <w:iCs/>
          <w:i/>
        </w:rPr>
        <w:t xml:space="preserve">Millbrook v. United States</w:t>
      </w:r>
      <w:r>
        <w:t xml:space="preserve">, 569 U.S. 50 (2013). Courts have held that CIA personnel are not investigative or law enforcement officers for this purpose,</w:t>
      </w:r>
      <w:r>
        <w:t xml:space="preserve"> </w:t>
      </w:r>
      <w:r>
        <w:rPr>
          <w:iCs/>
          <w:i/>
        </w:rPr>
        <w:t xml:space="preserve">Holmes v.</w:t>
      </w:r>
      <w:r>
        <w:rPr>
          <w:iCs/>
          <w:i/>
        </w:rPr>
        <w:t xml:space="preserve"> </w:t>
      </w:r>
      <w:r>
        <w:rPr>
          <w:iCs/>
          <w:i/>
        </w:rPr>
        <w:t xml:space="preserve">CIA</w:t>
      </w:r>
      <w:r>
        <w:t xml:space="preserve">, 758 F. Supp. 3d 153 (W.D.N.Y. 2024). Under</w:t>
      </w:r>
      <w:r>
        <w:t xml:space="preserve"> </w:t>
      </w:r>
      <w:r>
        <w:rPr>
          <w:iCs/>
          <w:i/>
        </w:rPr>
        <w:t xml:space="preserve">Millbrook</w:t>
      </w:r>
      <w:r>
        <w:t xml:space="preserve"> </w:t>
      </w:r>
      <w:r>
        <w:t xml:space="preserve">the officer’s status controls, so a claim against</w:t>
      </w:r>
      <w:r>
        <w:t xml:space="preserve"> </w:t>
      </w:r>
      <w:r>
        <w:t xml:space="preserve">military police, AFOSI, NCIS, or Army CID agents who are empowered by law to search, seize evidence, or arrest can</w:t>
      </w:r>
      <w:r>
        <w:t xml:space="preserve"> </w:t>
      </w:r>
      <w:r>
        <w:t xml:space="preserve">fit the proviso whenever the agent acted within the scope of employment, even if the agent was not then making a</w:t>
      </w:r>
      <w:r>
        <w:t xml:space="preserve"> </w:t>
      </w:r>
      <w:r>
        <w:t xml:space="preserve">search or arrest.</w:t>
      </w:r>
      <w:r>
        <w:t xml:space="preserve"> </w:t>
      </w:r>
      <w:r>
        <w:rPr>
          <w:iCs/>
          <w:i/>
        </w:rPr>
        <w:t xml:space="preserve">Dickson v. United States</w:t>
      </w:r>
      <w:r>
        <w:t xml:space="preserve">, 11 F.4th 308, 314 (5th Cir. 2021) (</w:t>
      </w:r>
      <w:r>
        <w:rPr>
          <w:iCs/>
          <w:i/>
        </w:rPr>
        <w:t xml:space="preserve">Millbrook</w:t>
      </w:r>
      <w:r>
        <w:t xml:space="preserve"> </w:t>
      </w:r>
      <w:r>
        <w:t xml:space="preserve">rejected the</w:t>
      </w:r>
      <w:r>
        <w:t xml:space="preserve"> </w:t>
      </w:r>
      <w:r>
        <w:t xml:space="preserve">status-versus-activities distinction that</w:t>
      </w:r>
      <w:r>
        <w:t xml:space="preserve"> </w:t>
      </w:r>
      <w:r>
        <w:rPr>
          <w:iCs/>
          <w:i/>
        </w:rPr>
        <w:t xml:space="preserve">Cross v. United States</w:t>
      </w:r>
      <w:r>
        <w:t xml:space="preserve">, 159 F. App’x 572 (5th Cir. 2005), had applied</w:t>
      </w:r>
      <w:r>
        <w:t xml:space="preserve"> </w:t>
      </w:r>
      <w:r>
        <w:t xml:space="preserve">to military police). Do not rely on</w:t>
      </w:r>
      <w:r>
        <w:t xml:space="preserve"> </w:t>
      </w:r>
      <w:r>
        <w:rPr>
          <w:iCs/>
          <w:i/>
        </w:rPr>
        <w:t xml:space="preserve">Cross</w:t>
      </w:r>
      <w:r>
        <w:t xml:space="preserve"> </w:t>
      </w:r>
      <w:r>
        <w:t xml:space="preserve">or similar pre-2013 activity-based decisions.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Negligence theories.</w:t>
      </w:r>
      <w:r>
        <w:t xml:space="preserve"> </w:t>
      </w:r>
      <w:r>
        <w:t xml:space="preserve">Negligent supervision, negligent funding of hazardous research (</w:t>
      </w:r>
      <w:r>
        <w:rPr>
          <w:iCs/>
          <w:i/>
        </w:rPr>
        <w:t xml:space="preserve">Orlikow</w:t>
      </w:r>
      <w:r>
        <w:t xml:space="preserve">), and failure</w:t>
      </w:r>
      <w:r>
        <w:t xml:space="preserve"> </w:t>
      </w:r>
      <w:r>
        <w:t xml:space="preserve">to warn after the fact avoid §2680(h) but face the discretionary-function exception, §2680(a). A mandatory</w:t>
      </w:r>
      <w:r>
        <w:t xml:space="preserve"> </w:t>
      </w:r>
      <w:r>
        <w:t xml:space="preserve">regulation such as AR 70-25 or §1520a defeats that exception for the conduct it prescribes.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Accrual.</w:t>
      </w:r>
      <w:r>
        <w:t xml:space="preserve"> </w:t>
      </w:r>
      <w:r>
        <w:t xml:space="preserve">An FTCA claim accrues when the plaintiff knows of the injury and its cause.</w:t>
      </w:r>
      <w:r>
        <w:t xml:space="preserve"> </w:t>
      </w:r>
      <w:r>
        <w:rPr>
          <w:iCs/>
          <w:i/>
        </w:rPr>
        <w:t xml:space="preserve">United States v.</w:t>
      </w:r>
      <w:r>
        <w:rPr>
          <w:iCs/>
          <w:i/>
        </w:rPr>
        <w:t xml:space="preserve"> </w:t>
      </w:r>
      <w:r>
        <w:rPr>
          <w:iCs/>
          <w:i/>
        </w:rPr>
        <w:t xml:space="preserve">Kubrick</w:t>
      </w:r>
      <w:r>
        <w:t xml:space="preserve">, 444 U.S. 111 (1979). Learning years later of a concealed program can start the period (</w:t>
      </w:r>
      <w:r>
        <w:rPr>
          <w:iCs/>
          <w:i/>
        </w:rPr>
        <w:t xml:space="preserve">Ritchie</w:t>
      </w:r>
      <w:r>
        <w:t xml:space="preserve">, 210 F.</w:t>
      </w:r>
      <w:r>
        <w:t xml:space="preserve"> </w:t>
      </w:r>
      <w:r>
        <w:t xml:space="preserve">Supp. 2d 1120). The administrative claim must be filed within two years of accrual (</w:t>
      </w:r>
      <w:hyperlink r:id="rId28">
        <w:r>
          <w:rPr>
            <w:rStyle w:val="Hyperlink"/>
          </w:rPr>
          <w:t xml:space="preserve">Form D5-1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Service members.</w:t>
      </w:r>
      <w:r>
        <w:t xml:space="preserve"> </w:t>
      </w:r>
      <w:r>
        <w:rPr>
          <w:iCs/>
          <w:i/>
        </w:rPr>
        <w:t xml:space="preserve">Feres v. United States</w:t>
      </w:r>
      <w:r>
        <w:t xml:space="preserve">, 340 U.S. 135 (1950), bars FTCA claims for injuries incident to</w:t>
      </w:r>
      <w:r>
        <w:t xml:space="preserve"> </w:t>
      </w:r>
      <w:r>
        <w:t xml:space="preserve">service. A MILAB account involving an active-duty member usually falls within it. A dependent or civilian</w:t>
      </w:r>
      <w:r>
        <w:t xml:space="preserve"> </w:t>
      </w:r>
      <w:r>
        <w:t xml:space="preserve">family member does not.</w:t>
      </w:r>
    </w:p>
    <w:bookmarkEnd w:id="29"/>
    <w:bookmarkStart w:id="30" w:name="claims-against-individual-officers"/>
    <w:p>
      <w:pPr>
        <w:pStyle w:val="Heading3"/>
      </w:pPr>
      <w:r>
        <w:t xml:space="preserve">5.2 Claims against individual officers</w:t>
      </w:r>
    </w:p>
    <w:p>
      <w:pPr>
        <w:pStyle w:val="FirstParagraph"/>
      </w:pPr>
      <w:r>
        <w:rPr>
          <w:iCs/>
          <w:i/>
        </w:rPr>
        <w:t xml:space="preserve">Bivens</w:t>
      </w:r>
      <w:r>
        <w:t xml:space="preserve"> </w:t>
      </w:r>
      <w:r>
        <w:t xml:space="preserve">claims in new contexts are effectively unavailable.</w:t>
      </w:r>
      <w:r>
        <w:t xml:space="preserve"> </w:t>
      </w:r>
      <w:r>
        <w:rPr>
          <w:iCs/>
          <w:i/>
        </w:rPr>
        <w:t xml:space="preserve">Ziglar v. Abbasi</w:t>
      </w:r>
      <w:r>
        <w:t xml:space="preserve">, 582 U.S. 120 (2017);</w:t>
      </w:r>
      <w:r>
        <w:t xml:space="preserve"> </w:t>
      </w:r>
      <w:r>
        <w:rPr>
          <w:iCs/>
          <w:i/>
        </w:rPr>
        <w:t xml:space="preserve">Egbert v.</w:t>
      </w:r>
      <w:r>
        <w:rPr>
          <w:iCs/>
          <w:i/>
        </w:rPr>
        <w:t xml:space="preserve"> </w:t>
      </w:r>
      <w:r>
        <w:rPr>
          <w:iCs/>
          <w:i/>
        </w:rPr>
        <w:t xml:space="preserve">Boule</w:t>
      </w:r>
      <w:r>
        <w:t xml:space="preserve">, 596 U.S. 482 (2022). National security is a recognized reason to decline a new remedy, and</w:t>
      </w:r>
      <w:r>
        <w:t xml:space="preserve"> </w:t>
      </w:r>
      <w:r>
        <w:rPr>
          <w:iCs/>
          <w:i/>
        </w:rPr>
        <w:t xml:space="preserve">Stanley</w:t>
      </w:r>
      <w:r>
        <w:t xml:space="preserve"> </w:t>
      </w:r>
      <w:r>
        <w:t xml:space="preserve">forecloses claims by service members. State tort claims against a federal employee acting within the scope of</w:t>
      </w:r>
      <w:r>
        <w:t xml:space="preserve"> </w:t>
      </w:r>
      <w:r>
        <w:t xml:space="preserve">employment are converted into FTCA claims against the United States under the Westfall Act, 28 U.S.C. §2679(b)(1),</w:t>
      </w:r>
      <w:r>
        <w:t xml:space="preserve"> </w:t>
      </w:r>
      <w:r>
        <w:t xml:space="preserve">which excepts claims for constitutional violations, §2679(b)(2)(A). Conduct that was outside the scope of</w:t>
      </w:r>
      <w:r>
        <w:t xml:space="preserve"> </w:t>
      </w:r>
      <w:r>
        <w:t xml:space="preserve">employment, such as a private venture by officers, is not substituted.</w:t>
      </w:r>
    </w:p>
    <w:bookmarkEnd w:id="30"/>
    <w:bookmarkStart w:id="32" w:name="contractors"/>
    <w:p>
      <w:pPr>
        <w:pStyle w:val="Heading3"/>
      </w:pPr>
      <w:r>
        <w:t xml:space="preserve">5.3 Contractors</w:t>
      </w:r>
    </w:p>
    <w:p>
      <w:pPr>
        <w:pStyle w:val="FirstParagraph"/>
      </w:pPr>
      <w:r>
        <w:t xml:space="preserve">Contractor personnel who carry out abductions or experiments are subject to state tort law: battery, false</w:t>
      </w:r>
      <w:r>
        <w:t xml:space="preserve"> </w:t>
      </w:r>
      <w:r>
        <w:t xml:space="preserve">imprisonment, intentional infliction of emotional distress, and medical battery. Defenses are the government</w:t>
      </w:r>
      <w:r>
        <w:t xml:space="preserve"> </w:t>
      </w:r>
      <w:r>
        <w:t xml:space="preserve">contractor defense,</w:t>
      </w:r>
      <w:r>
        <w:t xml:space="preserve"> </w:t>
      </w:r>
      <w:r>
        <w:rPr>
          <w:iCs/>
          <w:i/>
        </w:rPr>
        <w:t xml:space="preserve">Boyle v. United Technologies Corp.</w:t>
      </w:r>
      <w:r>
        <w:t xml:space="preserve">, 487 U.S. 500 (1988); derivative immunity for work the</w:t>
      </w:r>
      <w:r>
        <w:t xml:space="preserve"> </w:t>
      </w:r>
      <w:r>
        <w:t xml:space="preserve">government authorized and directed,</w:t>
      </w:r>
      <w:r>
        <w:t xml:space="preserve"> </w:t>
      </w:r>
      <w:r>
        <w:rPr>
          <w:iCs/>
          <w:i/>
        </w:rPr>
        <w:t xml:space="preserve">Yearsley v. W.A. Ross Construction Co.</w:t>
      </w:r>
      <w:r>
        <w:t xml:space="preserve">, 309 U.S. 18 (1940), and</w:t>
      </w:r>
      <w:r>
        <w:t xml:space="preserve"> </w:t>
      </w:r>
      <w:r>
        <w:rPr>
          <w:iCs/>
          <w:i/>
        </w:rPr>
        <w:t xml:space="preserve">Campbell-Ewald Co. v. Gomez</w:t>
      </w:r>
      <w:r>
        <w:t xml:space="preserve">, 577 U.S. 153 (2016); and preemption, narrowed by</w:t>
      </w:r>
      <w:r>
        <w:t xml:space="preserve"> </w:t>
      </w:r>
      <w:r>
        <w:rPr>
          <w:iCs/>
          <w:i/>
        </w:rPr>
        <w:t xml:space="preserve">Hencely v. Fluor Corp.</w:t>
      </w:r>
      <w:r>
        <w:t xml:space="preserve">, 608 U.S. 31</w:t>
      </w:r>
      <w:r>
        <w:t xml:space="preserve"> </w:t>
      </w:r>
      <w:r>
        <w:t xml:space="preserve">(2026), where the government did not require or authorize the conduct. Nonconsensual experimentation on civilians</w:t>
      </w:r>
      <w:r>
        <w:t xml:space="preserve"> </w:t>
      </w:r>
      <w:r>
        <w:t xml:space="preserve">inside the United States was never lawfully authorized (§3 above), which weakens each defense. The Alien Tort</w:t>
      </w:r>
      <w:r>
        <w:t xml:space="preserve"> </w:t>
      </w:r>
      <w:r>
        <w:t xml:space="preserve">Statute route used in</w:t>
      </w:r>
      <w:r>
        <w:t xml:space="preserve"> </w:t>
      </w:r>
      <w:r>
        <w:rPr>
          <w:iCs/>
          <w:i/>
        </w:rPr>
        <w:t xml:space="preserve">Salim</w:t>
      </w:r>
      <w:r>
        <w:t xml:space="preserve"> </w:t>
      </w:r>
      <w:r>
        <w:t xml:space="preserve">is closed for new claims against domestic contractors (</w:t>
      </w:r>
      <w:hyperlink r:id="rId31">
        <w:r>
          <w:rPr>
            <w:rStyle w:val="Hyperlink"/>
          </w:rPr>
          <w:t xml:space="preserve">Issue F2</w:t>
        </w:r>
      </w:hyperlink>
      <w:r>
        <w:t xml:space="preserve"> </w:t>
      </w:r>
      <w:r>
        <w:t xml:space="preserve">§5;</w:t>
      </w:r>
      <w:r>
        <w:t xml:space="preserve"> </w:t>
      </w:r>
      <w:hyperlink r:id="rId21">
        <w:r>
          <w:rPr>
            <w:rStyle w:val="Hyperlink"/>
          </w:rPr>
          <w:t xml:space="preserve">Issue A1</w:t>
        </w:r>
      </w:hyperlink>
      <w:r>
        <w:t xml:space="preserve"> </w:t>
      </w:r>
      <w:r>
        <w:t xml:space="preserve">§8).</w:t>
      </w:r>
    </w:p>
    <w:bookmarkEnd w:id="32"/>
    <w:bookmarkStart w:id="33" w:name="state-secrets"/>
    <w:p>
      <w:pPr>
        <w:pStyle w:val="Heading3"/>
      </w:pPr>
      <w:r>
        <w:t xml:space="preserve">5.4 State secrets</w:t>
      </w:r>
    </w:p>
    <w:p>
      <w:pPr>
        <w:pStyle w:val="FirstParagraph"/>
      </w:pPr>
      <w:r>
        <w:t xml:space="preserve">Expect the government to assert the privilege, or</w:t>
      </w:r>
      <w:r>
        <w:t xml:space="preserve"> </w:t>
      </w:r>
      <w:r>
        <w:rPr>
          <w:iCs/>
          <w:i/>
        </w:rPr>
        <w:t xml:space="preserve">Totten</w:t>
      </w:r>
      <w:r>
        <w:t xml:space="preserve">, as soon as a complaint names a program. Plead facts</w:t>
      </w:r>
      <w:r>
        <w:t xml:space="preserve"> </w:t>
      </w:r>
      <w:r>
        <w:t xml:space="preserve">from official acknowledgments and from the plaintiff’s own knowledge, and frame claims that can be proved with</w:t>
      </w:r>
      <w:r>
        <w:t xml:space="preserve"> </w:t>
      </w:r>
      <w:r>
        <w:t xml:space="preserve">nonprivileged evidence (</w:t>
      </w:r>
      <w:hyperlink r:id="rId21">
        <w:r>
          <w:rPr>
            <w:rStyle w:val="Hyperlink"/>
          </w:rPr>
          <w:t xml:space="preserve">Issue A1</w:t>
        </w:r>
      </w:hyperlink>
      <w:r>
        <w:t xml:space="preserve">). Public reporting does not by itself strip a fact of</w:t>
      </w:r>
      <w:r>
        <w:t xml:space="preserve"> </w:t>
      </w:r>
      <w:r>
        <w:t xml:space="preserve">protection: the Ninth Circuit allowed discovery from the CIA’s contract psychologists about a detention site already</w:t>
      </w:r>
      <w:r>
        <w:t xml:space="preserve"> </w:t>
      </w:r>
      <w:r>
        <w:t xml:space="preserve">described in the public record,</w:t>
      </w:r>
      <w:r>
        <w:t xml:space="preserve"> </w:t>
      </w:r>
      <w:r>
        <w:rPr>
          <w:iCs/>
          <w:i/>
        </w:rPr>
        <w:t xml:space="preserve">Husayn v. Mitchell</w:t>
      </w:r>
      <w:r>
        <w:t xml:space="preserve">, 938 F.3d 1123 (9th Cir. 2019), and the Supreme Court reversed,</w:t>
      </w:r>
      <w:r>
        <w:t xml:space="preserve"> </w:t>
      </w:r>
      <w:r>
        <w:t xml:space="preserve">holding that the government may decline to confirm or deny such facts,</w:t>
      </w:r>
      <w:r>
        <w:t xml:space="preserve"> </w:t>
      </w:r>
      <w:r>
        <w:rPr>
          <w:iCs/>
          <w:i/>
        </w:rPr>
        <w:t xml:space="preserve">United States v. Zubaydah</w:t>
      </w:r>
      <w:r>
        <w:t xml:space="preserve">, 595 U.S. 195</w:t>
      </w:r>
      <w:r>
        <w:t xml:space="preserve"> </w:t>
      </w:r>
      <w:r>
        <w:t xml:space="preserve">(2022).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8" w:name="records-and-investigation"/>
    <w:p>
      <w:pPr>
        <w:pStyle w:val="Heading2"/>
      </w:pPr>
      <w:r>
        <w:t xml:space="preserve">6. Records and investigation</w:t>
      </w:r>
    </w:p>
    <w:p>
      <w:pPr>
        <w:pStyle w:val="Compact"/>
        <w:numPr>
          <w:ilvl w:val="0"/>
          <w:numId w:val="1007"/>
        </w:numPr>
      </w:pPr>
      <w:r>
        <w:t xml:space="preserve">Privacy Act requests to each agency for the person’s own records, 5 U.S.C. §552a(d), with FOIA requests in the</w:t>
      </w:r>
      <w:r>
        <w:t xml:space="preserve"> </w:t>
      </w:r>
      <w:r>
        <w:t xml:space="preserve">alternative (</w:t>
      </w:r>
      <w:hyperlink r:id="rId35">
        <w:r>
          <w:rPr>
            <w:rStyle w:val="Hyperlink"/>
          </w:rPr>
          <w:t xml:space="preserve">Form B1-1</w:t>
        </w:r>
      </w:hyperlink>
      <w:r>
        <w:t xml:space="preserve">). The CIA exempts its operational files under §552a(j)(1); expect</w:t>
      </w:r>
      <w:r>
        <w:t xml:space="preserve"> </w:t>
      </w:r>
      <w:r>
        <w:rPr>
          <w:iCs/>
          <w:i/>
        </w:rPr>
        <w:t xml:space="preserve">Glomar</w:t>
      </w:r>
      <w:r>
        <w:t xml:space="preserve"> </w:t>
      </w:r>
      <w:r>
        <w:t xml:space="preserve">responses (Issue</w:t>
      </w:r>
      <w:r>
        <w:t xml:space="preserve"> </w:t>
      </w:r>
      <w:r>
        <w:t xml:space="preserve">A1).</w:t>
      </w:r>
    </w:p>
    <w:p>
      <w:pPr>
        <w:pStyle w:val="Compact"/>
        <w:numPr>
          <w:ilvl w:val="0"/>
          <w:numId w:val="1007"/>
        </w:numPr>
      </w:pPr>
      <w:r>
        <w:t xml:space="preserve">Requests for medical, research-subject, and volunteer registry records. The Army created registries of research</w:t>
      </w:r>
      <w:r>
        <w:t xml:space="preserve"> </w:t>
      </w:r>
      <w:r>
        <w:t xml:space="preserve">volunteers in 1981 and 1986 to support notice to former subjects (</w:t>
      </w:r>
      <w:r>
        <w:rPr>
          <w:iCs/>
          <w:i/>
        </w:rPr>
        <w:t xml:space="preserve">Vietnam Veterans of America</w:t>
      </w:r>
      <w:r>
        <w:t xml:space="preserve">, 811 F.3d at</w:t>
      </w:r>
      <w:r>
        <w:t xml:space="preserve"> </w:t>
      </w:r>
      <w:r>
        <w:t xml:space="preserve">1073-74).</w:t>
      </w:r>
    </w:p>
    <w:p>
      <w:pPr>
        <w:pStyle w:val="Compact"/>
        <w:numPr>
          <w:ilvl w:val="0"/>
          <w:numId w:val="1007"/>
        </w:numPr>
      </w:pPr>
      <w:r>
        <w:t xml:space="preserve">Inspector general complaints and congressional referrals (</w:t>
      </w:r>
      <w:hyperlink r:id="rId36">
        <w:r>
          <w:rPr>
            <w:rStyle w:val="Hyperlink"/>
          </w:rPr>
          <w:t xml:space="preserve">Issue D1</w:t>
        </w:r>
      </w:hyperlink>
      <w:r>
        <w:t xml:space="preserve">). Insiders with knowledge can use the</w:t>
      </w:r>
      <w:r>
        <w:t xml:space="preserve"> </w:t>
      </w:r>
      <w:r>
        <w:t xml:space="preserve">whistleblower channels in</w:t>
      </w:r>
      <w:r>
        <w:t xml:space="preserve"> </w:t>
      </w:r>
      <w:hyperlink r:id="rId37">
        <w:r>
          <w:rPr>
            <w:rStyle w:val="Hyperlink"/>
          </w:rPr>
          <w:t xml:space="preserve">Issue C1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41" w:name="proof"/>
    <w:p>
      <w:pPr>
        <w:pStyle w:val="Heading2"/>
      </w:pPr>
      <w:r>
        <w:t xml:space="preserve">7. Proof</w:t>
      </w:r>
    </w:p>
    <w:p>
      <w:pPr>
        <w:pStyle w:val="FirstParagraph"/>
      </w:pPr>
      <w:r>
        <w:rPr>
          <w:iCs/>
          <w:i/>
        </w:rPr>
        <w:t xml:space="preserve">Ritchie</w:t>
      </w:r>
      <w:r>
        <w:t xml:space="preserve"> </w:t>
      </w:r>
      <w:r>
        <w:t xml:space="preserve">shows what a MILAB plaintiff needs: evidence placing an identified agency, facility, or person at the</w:t>
      </w:r>
      <w:r>
        <w:t xml:space="preserve"> </w:t>
      </w:r>
      <w:r>
        <w:t xml:space="preserve">specific event, and medical evidence connecting the event to the injury. Useful evidence includes contemporaneous</w:t>
      </w:r>
      <w:r>
        <w:t xml:space="preserve"> </w:t>
      </w:r>
      <w:r>
        <w:t xml:space="preserve">medical records, travel and location records, witnesses who saw the person taken or returned, physical findings,</w:t>
      </w:r>
      <w:r>
        <w:t xml:space="preserve"> </w:t>
      </w:r>
      <w:r>
        <w:t xml:space="preserve">and any government document naming the person. Memories recovered under hypnosis face the evidentiary rules in</w:t>
      </w:r>
      <w:r>
        <w:t xml:space="preserve"> </w:t>
      </w:r>
      <w:hyperlink r:id="rId39">
        <w:r>
          <w:rPr>
            <w:rStyle w:val="Hyperlink"/>
          </w:rPr>
          <w:t xml:space="preserve">Issue H1</w:t>
        </w:r>
      </w:hyperlink>
      <w:r>
        <w:t xml:space="preserve"> </w:t>
      </w:r>
      <w:r>
        <w:t xml:space="preserve">§5. The stigma attached to abduction accounts is addressed in</w:t>
      </w:r>
      <w:r>
        <w:t xml:space="preserve"> </w:t>
      </w:r>
      <w:hyperlink r:id="rId40">
        <w:r>
          <w:rPr>
            <w:rStyle w:val="Hyperlink"/>
          </w:rPr>
          <w:t xml:space="preserve">Issue H4</w:t>
        </w:r>
      </w:hyperlink>
      <w:r>
        <w:t xml:space="preserve">; courts have screened out pro se</w:t>
      </w:r>
      <w:r>
        <w:t xml:space="preserve"> </w:t>
      </w:r>
      <w:r>
        <w:t xml:space="preserve">complaints of MKULTRA injury as frivolous even though the program is admitted (</w:t>
      </w:r>
      <w:r>
        <w:rPr>
          <w:iCs/>
          <w:i/>
        </w:rPr>
        <w:t xml:space="preserve">Mander v. CIA</w:t>
      </w:r>
      <w:r>
        <w:t xml:space="preserve">, 2024 WL 2114301</w:t>
      </w:r>
      <w:r>
        <w:t xml:space="preserve"> </w:t>
      </w:r>
      <w:r>
        <w:t xml:space="preserve">(E.D. Pa. May 10, 2024)), so a complaint should be drafted with the care of any other government-misconduct case and</w:t>
      </w:r>
      <w:r>
        <w:t xml:space="preserve"> </w:t>
      </w:r>
      <w:r>
        <w:t xml:space="preserve">should lead with documented facts.</w:t>
      </w:r>
    </w:p>
    <w:p>
      <w:r>
        <w:pict>
          <v:rect style="width:0;height:1.5pt" o:hralign="center" o:hrstd="t" o:hr="t"/>
        </w:pict>
      </w:r>
    </w:p>
    <w:bookmarkEnd w:id="41"/>
    <w:bookmarkStart w:id="43" w:name="practice-points"/>
    <w:p>
      <w:pPr>
        <w:pStyle w:val="Heading2"/>
      </w:pPr>
      <w:r>
        <w:t xml:space="preserve">8. Practice points</w:t>
      </w:r>
    </w:p>
    <w:p>
      <w:pPr>
        <w:pStyle w:val="Compact"/>
        <w:numPr>
          <w:ilvl w:val="0"/>
          <w:numId w:val="1008"/>
        </w:numPr>
      </w:pPr>
      <w:r>
        <w:t xml:space="preserve">Separate the human-actor allegations from the NHI allegations; plead and prove the human conduct on its own.</w:t>
      </w:r>
    </w:p>
    <w:p>
      <w:pPr>
        <w:pStyle w:val="Compact"/>
        <w:numPr>
          <w:ilvl w:val="0"/>
          <w:numId w:val="1008"/>
        </w:numPr>
      </w:pPr>
      <w:r>
        <w:t xml:space="preserve">Identify every agency, facility, and contractor the client can name, and the dates.</w:t>
      </w:r>
    </w:p>
    <w:p>
      <w:pPr>
        <w:pStyle w:val="Compact"/>
        <w:numPr>
          <w:ilvl w:val="0"/>
          <w:numId w:val="1008"/>
        </w:numPr>
      </w:pPr>
      <w:r>
        <w:t xml:space="preserve">Request the client’s records under the Privacy Act and FOIA before filing (</w:t>
      </w:r>
      <w:hyperlink r:id="rId42">
        <w:r>
          <w:rPr>
            <w:rStyle w:val="Hyperlink"/>
          </w:rPr>
          <w:t xml:space="preserve">Form H2-1</w:t>
        </w:r>
      </w:hyperlink>
      <w:r>
        <w:t xml:space="preserve">), and send preservation</w:t>
      </w:r>
      <w:r>
        <w:t xml:space="preserve"> </w:t>
      </w:r>
      <w:r>
        <w:t xml:space="preserve">demands.</w:t>
      </w:r>
    </w:p>
    <w:p>
      <w:pPr>
        <w:pStyle w:val="Compact"/>
        <w:numPr>
          <w:ilvl w:val="0"/>
          <w:numId w:val="1008"/>
        </w:numPr>
      </w:pPr>
      <w:r>
        <w:t xml:space="preserve">For former research subjects of DoD, consider an APA claim for notice and medical care under the regulation in</w:t>
      </w:r>
      <w:r>
        <w:t xml:space="preserve"> </w:t>
      </w:r>
      <w:r>
        <w:t xml:space="preserve">force (</w:t>
      </w:r>
      <w:r>
        <w:rPr>
          <w:iCs/>
          <w:i/>
        </w:rPr>
        <w:t xml:space="preserve">Vietnam Veterans of America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For civilians, file an FTCA administrative claim within two years of learning of the government’s role; frame</w:t>
      </w:r>
      <w:r>
        <w:t xml:space="preserve"> </w:t>
      </w:r>
      <w:r>
        <w:t xml:space="preserve">negligence and failure-to-warn theories alongside intentional-tort theories against law enforcement personnel.</w:t>
      </w:r>
    </w:p>
    <w:p>
      <w:pPr>
        <w:pStyle w:val="Compact"/>
        <w:numPr>
          <w:ilvl w:val="0"/>
          <w:numId w:val="1008"/>
        </w:numPr>
      </w:pPr>
      <w:r>
        <w:t xml:space="preserve">Consider state tort claims against contractors, in state court where possible.</w:t>
      </w:r>
    </w:p>
    <w:p>
      <w:pPr>
        <w:pStyle w:val="Compact"/>
        <w:numPr>
          <w:ilvl w:val="0"/>
          <w:numId w:val="1008"/>
        </w:numPr>
      </w:pPr>
      <w:r>
        <w:t xml:space="preserve">Plan for a state secrets assertion from the start.</w:t>
      </w:r>
    </w:p>
    <w:p>
      <w:r>
        <w:pict>
          <v:rect style="width:0;height:1.5pt" o:hralign="center" o:hrstd="t" o:hr="t"/>
        </w:pict>
      </w:r>
    </w:p>
    <w:bookmarkEnd w:id="43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MILAB Claims: Abduction, Detention, and Experimentation by Government or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5" Type="http://schemas.openxmlformats.org/officeDocument/2006/relationships/hyperlink" Target="https://nhilaw.com/forms/b1-1.html" TargetMode="External"/><Relationship Id="rId28" Type="http://schemas.openxmlformats.org/officeDocument/2006/relationships/hyperlink" Target="https://nhilaw.com/forms/d5-1.html" TargetMode="External"/><Relationship Id="rId42" Type="http://schemas.openxmlformats.org/officeDocument/2006/relationships/hyperlink" Target="https://nhilaw.com/forms/h2-1.html" TargetMode="External"/><Relationship Id="rId21" Type="http://schemas.openxmlformats.org/officeDocument/2006/relationships/hyperlink" Target="https://nhilaw.com/issues/a1.html" TargetMode="External"/><Relationship Id="rId37" Type="http://schemas.openxmlformats.org/officeDocument/2006/relationships/hyperlink" Target="https://nhilaw.com/issues/c1.html" TargetMode="External"/><Relationship Id="rId36" Type="http://schemas.openxmlformats.org/officeDocument/2006/relationships/hyperlink" Target="https://nhilaw.com/issues/d1.html" TargetMode="External"/><Relationship Id="rId26" Type="http://schemas.openxmlformats.org/officeDocument/2006/relationships/hyperlink" Target="https://nhilaw.com/issues/d3.html" TargetMode="External"/><Relationship Id="rId31" Type="http://schemas.openxmlformats.org/officeDocument/2006/relationships/hyperlink" Target="https://nhilaw.com/issues/f2.html" TargetMode="External"/><Relationship Id="rId39" Type="http://schemas.openxmlformats.org/officeDocument/2006/relationships/hyperlink" Target="https://nhilaw.com/issues/h1.html" TargetMode="External"/><Relationship Id="rId40" Type="http://schemas.openxmlformats.org/officeDocument/2006/relationships/hyperlink" Target="https://nhilaw.com/issues/h4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5" Type="http://schemas.openxmlformats.org/officeDocument/2006/relationships/hyperlink" Target="https://nhilaw.com/forms/b1-1.html" TargetMode="External"/><Relationship Id="rId28" Type="http://schemas.openxmlformats.org/officeDocument/2006/relationships/hyperlink" Target="https://nhilaw.com/forms/d5-1.html" TargetMode="External"/><Relationship Id="rId42" Type="http://schemas.openxmlformats.org/officeDocument/2006/relationships/hyperlink" Target="https://nhilaw.com/forms/h2-1.html" TargetMode="External"/><Relationship Id="rId21" Type="http://schemas.openxmlformats.org/officeDocument/2006/relationships/hyperlink" Target="https://nhilaw.com/issues/a1.html" TargetMode="External"/><Relationship Id="rId37" Type="http://schemas.openxmlformats.org/officeDocument/2006/relationships/hyperlink" Target="https://nhilaw.com/issues/c1.html" TargetMode="External"/><Relationship Id="rId36" Type="http://schemas.openxmlformats.org/officeDocument/2006/relationships/hyperlink" Target="https://nhilaw.com/issues/d1.html" TargetMode="External"/><Relationship Id="rId26" Type="http://schemas.openxmlformats.org/officeDocument/2006/relationships/hyperlink" Target="https://nhilaw.com/issues/d3.html" TargetMode="External"/><Relationship Id="rId31" Type="http://schemas.openxmlformats.org/officeDocument/2006/relationships/hyperlink" Target="https://nhilaw.com/issues/f2.html" TargetMode="External"/><Relationship Id="rId39" Type="http://schemas.openxmlformats.org/officeDocument/2006/relationships/hyperlink" Target="https://nhilaw.com/issues/h1.html" TargetMode="External"/><Relationship Id="rId40" Type="http://schemas.openxmlformats.org/officeDocument/2006/relationships/hyperlink" Target="https://nhilaw.com/issues/h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MILAB Claims: Abduction, Detention, and Experimentation by Government or Contractor Personnel</dc:title>
  <dc:creator>nhilaw.com</dc:creator>
  <cp:keywords/>
  <dcterms:created xsi:type="dcterms:W3CDTF">2026-10-19T13:54:09Z</dcterms:created>
  <dcterms:modified xsi:type="dcterms:W3CDTF">2026-10-19T13:54:09Z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nhilaw.com/issues/h2.html</vt:lpwstr>
  </property>
</Properties>
</file>