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pPr>
      <w:r>
        <w:rPr>
          <w:smallCaps/>
          <w:color w:val="1F6E6E"/>
          <w:sz w:val="18"/>
        </w:rPr>
        <w:t xml:space="preserve">nhilaw.com sample document</w:t>
      </w:r>
    </w:p>
    <w:bookmarkStart w:id="24" w:name="Xf59531d3568dac88b933aa9e71943b9b02deea2"/>
    <w:p>
      <w:pPr>
        <w:pStyle w:val="Heading1"/>
      </w:pPr>
      <w:r>
        <w:t xml:space="preserve">Form H3-1. Privacy Act Request to Amend or Expunge Records Describing a Person’s First Amendment Activity (UFO Research, Lectures, and Group Membership)</w:t>
      </w:r>
    </w:p>
    <w:p>
      <w:pPr>
        <w:pStyle w:val="FirstParagraph"/>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https://nhilaw.com/forms/h3-1.html</w:t>
      </w:r>
    </w:p>
    <w:p>
      <w:pPr>
        <w:pStyle w:val="BodyText"/>
        <w:spacing w:after="160" w:line="259" w:lineRule="auto"/>
      </w:pPr>
      <w:r>
        <w:rPr>
          <w:bCs/>
          <w:b/>
        </w:rPr>
        <w:t xml:space="preserve">Use.</w:t>
      </w:r>
      <w:r>
        <w:t xml:space="preserve"> </w:t>
      </w:r>
      <w:r>
        <w:t xml:space="preserve">A researcher, writer, organizer, or experiencer has obtained (through a Privacy Act or FOIA request) an</w:t>
      </w:r>
      <w:r>
        <w:t xml:space="preserve"> </w:t>
      </w:r>
      <w:r>
        <w:t xml:space="preserve">agency record describing their lectures, publications, conference attendance, online posts, or membership in a UFO</w:t>
      </w:r>
      <w:r>
        <w:t xml:space="preserve"> </w:t>
      </w:r>
      <w:r>
        <w:t xml:space="preserve">organization, and wants it amended or expunged. The request relies on 5 U.S.C. §552a(e)(7), which bars an agency from</w:t>
      </w:r>
      <w:r>
        <w:t xml:space="preserve"> </w:t>
      </w:r>
      <w:r>
        <w:t xml:space="preserve">maintaining a record describing how an individual exercises First Amendment rights unless the record is expressly</w:t>
      </w:r>
      <w:r>
        <w:t xml:space="preserve"> </w:t>
      </w:r>
      <w:r>
        <w:t xml:space="preserve">authorized by statute or by the individual, or is pertinent to and within the scope of an authorized law enforcement</w:t>
      </w:r>
      <w:r>
        <w:t xml:space="preserve"> </w:t>
      </w:r>
      <w:r>
        <w:t xml:space="preserve">activity, and on</w:t>
      </w:r>
      <w:r>
        <w:t xml:space="preserve"> </w:t>
      </w:r>
      <w:r>
        <w:rPr>
          <w:iCs/>
          <w:i/>
        </w:rPr>
        <w:t xml:space="preserve">Garris v. FBI</w:t>
      </w:r>
      <w:r>
        <w:t xml:space="preserve">, 937 F.3d 1284 (9th Cir. 2019), which requires that continued maintenance be justified</w:t>
      </w:r>
      <w:r>
        <w:t xml:space="preserve"> </w:t>
      </w:r>
      <w:r>
        <w:t xml:space="preserve">as well as the original collection. If the agency refuses, the requester may seek review within the agency and then</w:t>
      </w:r>
      <w:r>
        <w:t xml:space="preserve"> </w:t>
      </w:r>
      <w:r>
        <w:t xml:space="preserve">sue for amendment (5 U.S.C. §552a(g)(1)(A), (g)(2)).</w:t>
      </w:r>
    </w:p>
    <w:p>
      <w:pPr>
        <w:pStyle w:val="BodyText"/>
        <w:spacing w:after="160" w:line="259" w:lineRule="auto"/>
      </w:pPr>
      <w:r>
        <w:rPr>
          <w:bCs/>
          <w:b/>
        </w:rPr>
        <w:t xml:space="preserve">When to use.</w:t>
      </w:r>
      <w:r>
        <w:t xml:space="preserve"> </w:t>
      </w:r>
      <w:r>
        <w:t xml:space="preserve">After obtaining a federal agency record that describes the requester’s speech, writing, or</w:t>
      </w:r>
      <w:r>
        <w:t xml:space="preserve"> </w:t>
      </w:r>
      <w:r>
        <w:t xml:space="preserve">association.</w:t>
      </w:r>
      <w:r>
        <w:t xml:space="preserve"> </w:t>
      </w:r>
      <w:r>
        <w:rPr>
          <w:bCs/>
          <w:b/>
        </w:rPr>
        <w:t xml:space="preserve">Not for:</w:t>
      </w:r>
      <w:r>
        <w:t xml:space="preserve"> </w:t>
      </w:r>
      <w:r>
        <w:t xml:space="preserve">Getting the records in the first place (</w:t>
      </w:r>
      <w:hyperlink r:id="rId20">
        <w:r>
          <w:rPr>
            <w:rStyle w:val="Hyperlink"/>
          </w:rPr>
          <w:t xml:space="preserve">Form B1-1</w:t>
        </w:r>
      </w:hyperlink>
      <w:r>
        <w:t xml:space="preserve"> </w:t>
      </w:r>
      <w:r>
        <w:t xml:space="preserve">or</w:t>
      </w:r>
      <w:r>
        <w:t xml:space="preserve"> </w:t>
      </w:r>
      <w:hyperlink r:id="rId21">
        <w:r>
          <w:rPr>
            <w:rStyle w:val="Hyperlink"/>
          </w:rPr>
          <w:t xml:space="preserve">Form H2-1</w:t>
        </w:r>
      </w:hyperlink>
      <w:r>
        <w:t xml:space="preserve">), or correcting public</w:t>
      </w:r>
      <w:r>
        <w:t xml:space="preserve"> </w:t>
      </w:r>
      <w:r>
        <w:t xml:space="preserve">statements by officials (</w:t>
      </w:r>
      <w:hyperlink r:id="rId22">
        <w:r>
          <w:rPr>
            <w:rStyle w:val="Hyperlink"/>
          </w:rPr>
          <w:t xml:space="preserve">Issue F4</w:t>
        </w:r>
      </w:hyperlink>
      <w:r>
        <w:t xml:space="preserve">).</w:t>
      </w:r>
    </w:p>
    <w:p>
      <w:pPr>
        <w:pStyle w:val="BodyText"/>
        <w:spacing w:after="160" w:line="259" w:lineRule="auto"/>
      </w:pPr>
      <w:r>
        <w:rPr>
          <w:bCs/>
          <w:b/>
        </w:rPr>
        <w:t xml:space="preserve">Deadlines.</w:t>
      </w:r>
      <w:r>
        <w:t xml:space="preserve"> </w:t>
      </w:r>
      <w:r>
        <w:t xml:space="preserve">The agency must acknowledge an amendment request within 10 working days and then promptly correct the</w:t>
      </w:r>
      <w:r>
        <w:t xml:space="preserve"> </w:t>
      </w:r>
      <w:r>
        <w:t xml:space="preserve">record or explain its refusal (5 U.S.C. §552a(d)(2)). Agency regulations set the time for an internal appeal. Suit</w:t>
      </w:r>
      <w:r>
        <w:t xml:space="preserve"> </w:t>
      </w:r>
      <w:r>
        <w:t xml:space="preserve">must be brought within two years from the date the cause of action arises (§552a(g)(5)).</w:t>
      </w:r>
    </w:p>
    <w:p>
      <w:pPr>
        <w:pStyle w:val="BodyText"/>
        <w:spacing w:lineRule="exact" w:line="40" w:before="0" w:after="0"/>
        <w:sectPr>
          <w:headerReference w:type="default" r:id="rId9"/>
          <w:footerReference w:type="default" r:id="rId10"/>
          <w:pgSz w:h="15840" w:w="12240"/>
          <w:pgMar w:bottom="1440" w:left="1440" w:right="1440" w:top="1440" w:header="720" w:footer="576"/>
        </w:sectPr>
      </w:pPr>
    </w:p>
    <w:p>
      <w:pPr>
        <w:pStyle w:val="BodyText"/>
      </w:pPr>
      <w:r>
        <w:t xml:space="preserve">[Requester name, address, email, phone]</w:t>
      </w:r>
    </w:p>
    <w:p>
      <w:pPr>
        <w:pStyle w:val="BodyText"/>
      </w:pPr>
      <w:r>
        <w:t xml:space="preserve">[Date]</w:t>
      </w:r>
    </w:p>
    <w:p>
      <w:pPr>
        <w:pStyle w:val="BodyText"/>
      </w:pPr>
      <w:r>
        <w:t xml:space="preserve">[Privacy Act Officer]</w:t>
      </w:r>
      <w:r>
        <w:br/>
      </w:r>
      <w:r>
        <w:t xml:space="preserve">[Agency and component]</w:t>
      </w:r>
      <w:r>
        <w:br/>
      </w:r>
      <w:r>
        <w:t xml:space="preserve">[Address or portal]</w:t>
      </w:r>
    </w:p>
    <w:p>
      <w:pPr>
        <w:pStyle w:val="BodyText"/>
      </w:pPr>
      <w:r>
        <w:rPr>
          <w:bCs/>
          <w:b/>
        </w:rPr>
        <w:t xml:space="preserve">Re: Request under 5 U.S.C. §552a(d)(2) and (e)(7) to expunge or amend records about [Requester]; your reference</w:t>
      </w:r>
      <w:r>
        <w:rPr>
          <w:bCs/>
          <w:b/>
        </w:rPr>
        <w:t xml:space="preserve"> </w:t>
      </w:r>
      <w:r>
        <w:rPr>
          <w:bCs/>
          <w:b/>
        </w:rPr>
        <w:t xml:space="preserve">[FOIA/PA no. ___]</w:t>
      </w:r>
    </w:p>
    <w:p>
      <w:pPr>
        <w:pStyle w:val="BodyText"/>
      </w:pPr>
      <w:r>
        <w:t xml:space="preserve">Dear Privacy Act Officer:</w:t>
      </w:r>
    </w:p>
    <w:p>
      <w:pPr>
        <w:pStyle w:val="BodyText"/>
      </w:pPr>
      <w:r>
        <w:t xml:space="preserve">In response to my request no. [___], the [agency] released the records listed in the attachment (the</w:t>
      </w:r>
      <w:r>
        <w:t xml:space="preserve"> </w:t>
      </w:r>
      <w:r>
        <w:t xml:space="preserve">“</w:t>
      </w:r>
      <w:r>
        <w:t xml:space="preserve">Records</w:t>
      </w:r>
      <w:r>
        <w:t xml:space="preserve">”</w:t>
      </w:r>
      <w:r>
        <w:t xml:space="preserve">),</w:t>
      </w:r>
      <w:r>
        <w:t xml:space="preserve"> </w:t>
      </w:r>
      <w:r>
        <w:t xml:space="preserve">which are maintained in [system of records, if known]. I request that the agency expunge the Records or, in the</w:t>
      </w:r>
      <w:r>
        <w:t xml:space="preserve"> </w:t>
      </w:r>
      <w:r>
        <w:t xml:space="preserve">alternative, amend them by removing the material identified below.</w:t>
      </w:r>
    </w:p>
    <w:p>
      <w:pPr>
        <w:pStyle w:val="BodyText"/>
      </w:pPr>
      <w:r>
        <w:rPr>
          <w:bCs/>
          <w:b/>
        </w:rPr>
        <w:t xml:space="preserve">1. The Records describe my exercise of First Amendment rights.</w:t>
      </w:r>
      <w:r>
        <w:t xml:space="preserve"> </w:t>
      </w:r>
      <w:r>
        <w:t xml:space="preserve">The Records describe [my lectures on unidentified</w:t>
      </w:r>
      <w:r>
        <w:t xml:space="preserve"> </w:t>
      </w:r>
      <w:r>
        <w:t xml:space="preserve">anomalous phenomena at ___ on ___ / my articles published in ___ / my attendance at the ___ conference / my membership</w:t>
      </w:r>
      <w:r>
        <w:t xml:space="preserve"> </w:t>
      </w:r>
      <w:r>
        <w:t xml:space="preserve">in and role as ___ of ___ / my posts on ___]. Speaking, writing, publishing, assembling, and associating with others</w:t>
      </w:r>
      <w:r>
        <w:t xml:space="preserve"> </w:t>
      </w:r>
      <w:r>
        <w:t xml:space="preserve">on this subject are activities protected by the First Amendment.</w:t>
      </w:r>
    </w:p>
    <w:p>
      <w:pPr>
        <w:pStyle w:val="BodyText"/>
      </w:pPr>
      <w:r>
        <w:rPr>
          <w:bCs/>
          <w:b/>
        </w:rPr>
        <w:t xml:space="preserve">2. Section 552a(e)(7) bars maintaining them.</w:t>
      </w:r>
      <w:r>
        <w:t xml:space="preserve"> </w:t>
      </w:r>
      <w:r>
        <w:t xml:space="preserve">An agency may</w:t>
      </w:r>
      <w:r>
        <w:t xml:space="preserve"> </w:t>
      </w:r>
      <w:r>
        <w:t xml:space="preserve">“</w:t>
      </w:r>
      <w:r>
        <w:t xml:space="preserve">maintain no record describing how any individual</w:t>
      </w:r>
      <w:r>
        <w:t xml:space="preserve"> </w:t>
      </w:r>
      <w:r>
        <w:t xml:space="preserve">exercises rights guaranteed by the First Amendment unless expressly authorized by statute or by the individual about</w:t>
      </w:r>
      <w:r>
        <w:t xml:space="preserve"> </w:t>
      </w:r>
      <w:r>
        <w:t xml:space="preserve">whom the record is maintained or unless pertinent to and within the scope of an authorized law enforcement activity.</w:t>
      </w:r>
      <w:r>
        <w:t xml:space="preserve">”</w:t>
      </w:r>
      <w:r>
        <w:t xml:space="preserve"> </w:t>
      </w:r>
      <w:r>
        <w:t xml:space="preserve">5 U.S.C. §552a(e)(7). No statute authorizes the Records, and I have not authorized them. The prohibition applies to</w:t>
      </w:r>
      <w:r>
        <w:t xml:space="preserve"> </w:t>
      </w:r>
      <w:r>
        <w:t xml:space="preserve">continued maintenance as well as to collection, and the agency must show that keeping each record is pertinent to a</w:t>
      </w:r>
      <w:r>
        <w:t xml:space="preserve"> </w:t>
      </w:r>
      <w:r>
        <w:t xml:space="preserve">specific authorized law enforcement activity.</w:t>
      </w:r>
      <w:r>
        <w:t xml:space="preserve"> </w:t>
      </w:r>
      <w:r>
        <w:rPr>
          <w:iCs/>
          <w:i/>
        </w:rPr>
        <w:t xml:space="preserve">Garris v. FBI</w:t>
      </w:r>
      <w:r>
        <w:t xml:space="preserve">, 937 F.3d 1284, 1294-1300 (9th Cir. 2019) (ordering the</w:t>
      </w:r>
      <w:r>
        <w:t xml:space="preserve"> </w:t>
      </w:r>
      <w:r>
        <w:t xml:space="preserve">FBI to expunge a threat assessment of a website and its editors).</w:t>
      </w:r>
    </w:p>
    <w:p>
      <w:pPr>
        <w:pStyle w:val="BodyText"/>
      </w:pPr>
      <w:r>
        <w:rPr>
          <w:bCs/>
          <w:b/>
        </w:rPr>
        <w:t xml:space="preserve">3. No authorized law enforcement activity supports the Records.</w:t>
      </w:r>
      <w:r>
        <w:t xml:space="preserve"> </w:t>
      </w:r>
      <w:r>
        <w:t xml:space="preserve">[The Records do not refer to any investigation,</w:t>
      </w:r>
      <w:r>
        <w:t xml:space="preserve"> </w:t>
      </w:r>
      <w:r>
        <w:t xml:space="preserve">allegation of unlawful conduct, or threat. / The Records refer to ___, which was closed on ___ and did not concern me.]</w:t>
      </w:r>
      <w:r>
        <w:t xml:space="preserve"> </w:t>
      </w:r>
      <w:r>
        <w:t xml:space="preserve">I am not, and have never been, the subject of any investigation of unlawful conduct to my knowledge. Interest in</w:t>
      </w:r>
      <w:r>
        <w:t xml:space="preserve"> </w:t>
      </w:r>
      <w:r>
        <w:t xml:space="preserve">unidentified anomalous phenomena is a subject Congress has made a matter of public reporting and study (50 U.S.C.</w:t>
      </w:r>
      <w:r>
        <w:t xml:space="preserve"> </w:t>
      </w:r>
      <w:r>
        <w:t xml:space="preserve">§§3373, 3373b).</w:t>
      </w:r>
    </w:p>
    <w:p>
      <w:pPr>
        <w:pStyle w:val="BodyText"/>
      </w:pPr>
      <w:r>
        <w:rPr>
          <w:bCs/>
          <w:b/>
        </w:rPr>
        <w:t xml:space="preserve">4. The Records are inaccurate or incomplete in these respects.</w:t>
      </w:r>
      <w:r>
        <w:t xml:space="preserve"> </w:t>
      </w:r>
      <w:r>
        <w:t xml:space="preserve">[Identify any factual errors, e.g., a statement</w:t>
      </w:r>
      <w:r>
        <w:t xml:space="preserve"> </w:t>
      </w:r>
      <w:r>
        <w:t xml:space="preserve">that I</w:t>
      </w:r>
      <w:r>
        <w:t xml:space="preserve"> </w:t>
      </w:r>
      <w:r>
        <w:t xml:space="preserve">“</w:t>
      </w:r>
      <w:r>
        <w:t xml:space="preserve">claimed contact with aliens</w:t>
      </w:r>
      <w:r>
        <w:t xml:space="preserve">”</w:t>
      </w:r>
      <w:r>
        <w:t xml:space="preserve"> </w:t>
      </w:r>
      <w:r>
        <w:t xml:space="preserve">when the lecture described radar data; a characterization of the group as</w:t>
      </w:r>
      <w:r>
        <w:t xml:space="preserve"> </w:t>
      </w:r>
      <w:r>
        <w:t xml:space="preserve">“</w:t>
      </w:r>
      <w:r>
        <w:t xml:space="preserve">subversive.</w:t>
      </w:r>
      <w:r>
        <w:t xml:space="preserve">”</w:t>
      </w:r>
      <w:r>
        <w:t xml:space="preserve">] Under §552a(d)(2)(B)(i), I ask that these statements be corrected or removed.</w:t>
      </w:r>
    </w:p>
    <w:p>
      <w:pPr>
        <w:pStyle w:val="BodyText"/>
      </w:pPr>
      <w:r>
        <w:rPr>
          <w:bCs/>
          <w:b/>
        </w:rPr>
        <w:t xml:space="preserve">5. Effects.</w:t>
      </w:r>
      <w:r>
        <w:t xml:space="preserve"> </w:t>
      </w:r>
      <w:r>
        <w:t xml:space="preserve">[Describe concrete effects if any: secondary screening at airports since ___; a question about the</w:t>
      </w:r>
      <w:r>
        <w:t xml:space="preserve"> </w:t>
      </w:r>
      <w:r>
        <w:t xml:space="preserve">Records in a security clearance interview on ___; disclosure of the Records to ___; loss of ___.]</w:t>
      </w:r>
    </w:p>
    <w:p>
      <w:pPr>
        <w:pStyle w:val="BodyText"/>
      </w:pPr>
      <w:r>
        <w:rPr>
          <w:bCs/>
          <w:b/>
        </w:rPr>
        <w:t xml:space="preserve">6. Request.</w:t>
      </w:r>
      <w:r>
        <w:t xml:space="preserve"> </w:t>
      </w:r>
      <w:r>
        <w:t xml:space="preserve">Please (a) expunge the Records, including copies in other systems and any index entries; (b) if the</w:t>
      </w:r>
      <w:r>
        <w:t xml:space="preserve"> </w:t>
      </w:r>
      <w:r>
        <w:t xml:space="preserve">agency declines to expunge any Record, amend it by removing the material identified above and correcting the errors in</w:t>
      </w:r>
      <w:r>
        <w:t xml:space="preserve"> </w:t>
      </w:r>
      <w:r>
        <w:t xml:space="preserve">paragraph 4; (c) notify every person or agency to whom the Records were disclosed of the correction, as</w:t>
      </w:r>
      <w:r>
        <w:t xml:space="preserve"> </w:t>
      </w:r>
      <w:r>
        <w:t xml:space="preserve">§552a(c)(4) requires; and (d) provide the accounting of disclosures for the Records under §552a(c)(3).</w:t>
      </w:r>
    </w:p>
    <w:p>
      <w:pPr>
        <w:pStyle w:val="BodyText"/>
      </w:pPr>
      <w:r>
        <w:t xml:space="preserve">If the agency refuses any part of this request, please state the reasons, the name and title of the reviewing official,</w:t>
      </w:r>
      <w:r>
        <w:t xml:space="preserve"> </w:t>
      </w:r>
      <w:r>
        <w:t xml:space="preserve">and the procedure for review of the refusal, as §552a(d)(2)(B)(ii) requires.</w:t>
      </w:r>
    </w:p>
    <w:p>
      <w:pPr>
        <w:pStyle w:val="BodyText"/>
      </w:pPr>
      <w:r>
        <w:t xml:space="preserve">Sincerely,</w:t>
      </w:r>
    </w:p>
    <w:p>
      <w:pPr>
        <w:pStyle w:val="BodyText"/>
      </w:pPr>
      <w:r>
        <w:t xml:space="preserve">[Signature]</w:t>
      </w:r>
    </w:p>
    <w:p>
      <w:pPr>
        <w:pStyle w:val="BodyText"/>
      </w:pPr>
      <w:r>
        <w:t xml:space="preserve">Attachment: list of Records, with page or document numbers, and copies.</w:t>
      </w:r>
    </w:p>
    <w:p>
      <w:pPr>
        <w:pStyle w:val="BodyText"/>
      </w:pPr>
      <w:r>
        <w:rPr>
          <w:bCs/>
          <w:b/>
        </w:rPr>
        <w:t xml:space="preserve">Drafting notes</w:t>
      </w:r>
    </w:p>
    <w:p>
      <w:pPr>
        <w:pStyle w:val="Compact"/>
        <w:numPr>
          <w:ilvl w:val="0"/>
          <w:numId w:val="1001"/>
        </w:numPr>
      </w:pPr>
      <w:r>
        <w:t xml:space="preserve">Check the agency’s published system of records notice for exemptions under §552a(j) or (k). The CIA and parts of</w:t>
      </w:r>
      <w:r>
        <w:br/>
      </w:r>
      <w:r>
        <w:t xml:space="preserve">the FBI exempt many systems from the access and amendment provisions. Neither subsection allows an agency to exempt</w:t>
      </w:r>
      <w:r>
        <w:br/>
      </w:r>
      <w:r>
        <w:t xml:space="preserve">a system from §552a(e)(7) itself, but some agencies have used (j) to exempt systems from the civil remedies in</w:t>
      </w:r>
      <w:r>
        <w:br/>
      </w:r>
      <w:r>
        <w:t xml:space="preserve">§552a(g), and courts have reached different results on whether that bars an (e)(7) suit. Read the notice and the</w:t>
      </w:r>
      <w:r>
        <w:br/>
      </w:r>
      <w:r>
        <w:t xml:space="preserve">circuit’s cases before deciding where to sue.</w:t>
      </w:r>
      <w:r>
        <w:br/>
      </w:r>
    </w:p>
    <w:p>
      <w:pPr>
        <w:pStyle w:val="Compact"/>
        <w:numPr>
          <w:ilvl w:val="0"/>
          <w:numId w:val="1001"/>
        </w:numPr>
      </w:pPr>
      <w:r>
        <w:t xml:space="preserve">Plead concrete effects. For constitutional claims seeking expungement, the Ninth Circuit requires a concrete injury</w:t>
      </w:r>
      <w:r>
        <w:br/>
      </w:r>
      <w:r>
        <w:t xml:space="preserve">beyond the record’s existence (</w:t>
      </w:r>
      <w:r>
        <w:rPr>
          <w:iCs/>
          <w:i/>
        </w:rPr>
        <w:t xml:space="preserve">Phillips v. U.S. Customs &amp; Border Protection</w:t>
      </w:r>
      <w:r>
        <w:t xml:space="preserve">, 74 F.4th 986 (9th Cir. 2023)).</w:t>
      </w:r>
      <w:r>
        <w:br/>
      </w:r>
    </w:p>
    <w:p>
      <w:pPr>
        <w:pStyle w:val="Compact"/>
        <w:numPr>
          <w:ilvl w:val="0"/>
          <w:numId w:val="1001"/>
        </w:numPr>
      </w:pPr>
      <w:r>
        <w:t xml:space="preserve">Damages under §552a(g)(4) require actual pecuniary loss and an intentional or willful violation (</w:t>
      </w:r>
      <w:r>
        <w:rPr>
          <w:iCs/>
          <w:i/>
        </w:rPr>
        <w:t xml:space="preserve">Doe v. Chao</w:t>
      </w:r>
      <w:r>
        <w:t xml:space="preserve">, 540</w:t>
      </w:r>
      <w:r>
        <w:br/>
      </w:r>
      <w:r>
        <w:t xml:space="preserve">U.S. 614 (2004);</w:t>
      </w:r>
      <w:r>
        <w:t xml:space="preserve"> </w:t>
      </w:r>
      <w:r>
        <w:rPr>
          <w:iCs/>
          <w:i/>
        </w:rPr>
        <w:t xml:space="preserve">FAA v. Cooper</w:t>
      </w:r>
      <w:r>
        <w:t xml:space="preserve">, 566 U.S. 284 (2012)). Amendment and expungement do not.</w:t>
      </w:r>
      <w:r>
        <w:br/>
      </w:r>
    </w:p>
    <w:p>
      <w:pPr>
        <w:pStyle w:val="Compact"/>
        <w:numPr>
          <w:ilvl w:val="0"/>
          <w:numId w:val="1001"/>
        </w:numPr>
      </w:pPr>
      <w:r>
        <w:t xml:space="preserve">For a group, each member whose activity is described should file a separate request; the Privacy Act protects</w:t>
      </w:r>
      <w:r>
        <w:br/>
      </w:r>
      <w:r>
        <w:t xml:space="preserve">individuals, not organizations.</w:t>
      </w:r>
      <w:r>
        <w:br/>
      </w:r>
    </w:p>
    <w:p>
      <w:pPr>
        <w:pStyle w:val="Compact"/>
        <w:numPr>
          <w:ilvl w:val="0"/>
          <w:numId w:val="1001"/>
        </w:numPr>
      </w:pPr>
      <w:hyperlink r:id="rId23">
        <w:r>
          <w:rPr>
            <w:rStyle w:val="Hyperlink"/>
          </w:rPr>
          <w:t xml:space="preserve">Issue H3</w:t>
        </w:r>
      </w:hyperlink>
      <w:r>
        <w:t xml:space="preserve"> </w:t>
      </w:r>
      <w:r>
        <w:t xml:space="preserve">§5.1 explains the standard.</w:t>
      </w:r>
    </w:p>
    <w:bookmarkEnd w:id="24"/>
    <w:sectPr>
      <w:headerReference w:type="default" r:id="rId11"/>
      <w:footerReference w:type="default" r:id="rId12"/>
      <w:headerReference w:type="first" r:id="rId14"/>
      <w:footerReference w:type="first" r:id="rId13"/>
      <w:pgSz w:h="15840" w:w="12240"/>
      <w:pgMar w:bottom="1440" w:left="1440" w:right="1440" w:top="1440" w:header="720" w:footer="576"/>
      <w:pgNumType w:start="1"/>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mbria" w:hAnsi="Cambria" w:cs="Cambria" w:eastAsia="Cambria"/>
        <w:sz w:val="18"/>
      </w:rPr>
      <w:t xml:space="preserve">Page </w:t>
    </w:r>
    <w:r>
      <w:rPr>
        <w:rFonts w:ascii="Cambria" w:hAnsi="Cambria" w:cs="Cambria" w:eastAsia="Cambria"/>
        <w:sz w:val="18"/>
      </w:rPr>
      <w:fldChar w:fldCharType="begin"/>
    </w:r>
    <w:r>
      <w:rPr>
        <w:rFonts w:ascii="Cambria" w:hAnsi="Cambria" w:cs="Cambria" w:eastAsia="Cambria"/>
        <w:sz w:val="18"/>
      </w:rPr>
      <w:instrText xml:space="preserve"> PAGE </w:instrText>
    </w:r>
    <w:r>
      <w:rPr>
        <w:rFonts w:ascii="Cambria" w:hAnsi="Cambria" w:cs="Cambria" w:eastAsia="Cambria"/>
        <w:sz w:val="18"/>
      </w:rPr>
      <w:fldChar w:fldCharType="separate"/>
    </w:r>
    <w:r>
      <w:rPr>
        <w:rFonts w:ascii="Cambria" w:hAnsi="Cambria" w:cs="Cambria" w:eastAsia="Cambria"/>
        <w:sz w:val="18"/>
      </w:rPr>
      <w:t>1</w:t>
    </w:r>
    <w:r>
      <w:rPr>
        <w:rFonts w:ascii="Cambria" w:hAnsi="Cambria" w:cs="Cambria" w:eastAsia="Cambria"/>
        <w:sz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before="0" w:line="259" w:lineRule="auto"/>
    </w:pPr>
    <w:rPr>
      <w:rFonts w:ascii="Cambria" w:cs="Cambria" w:eastAsia="Cambria" w:hAnsi="Cambria"/>
      <w:color w:val="000000"/>
      <w:sz w:val="23"/>
    </w:rPr>
  </w:style>
  <w:style w:styleId="BodyText" w:type="paragraph">
    <w:name w:val="Body Text"/>
    <w:basedOn w:val="Normal"/>
    <w:link w:val="BodyTextChar"/>
    <w:pPr>
      <w:spacing w:after="160" w:before="0" w:line="259" w:lineRule="auto"/>
    </w:pPr>
    <w:qFormat/>
    <w:rPr>
      <w:rFonts w:ascii="Cambria" w:cs="Cambria" w:eastAsia="Cambria" w:hAnsi="Cambria"/>
      <w:color w:val="000000"/>
      <w:sz w:val="23"/>
    </w:rPr>
  </w:style>
  <w:style w:customStyle="1" w:styleId="FirstParagraph" w:type="paragraph">
    <w:name w:val="First Paragraph"/>
    <w:basedOn w:val="BodyText"/>
    <w:next w:val="BodyText"/>
    <w:qFormat/>
    <w:pPr>
      <w:spacing w:after="160" w:before="0" w:line="259" w:lineRule="auto"/>
    </w:pPr>
    <w:rPr>
      <w:rFonts w:ascii="Cambria" w:cs="Cambria" w:eastAsia="Cambria" w:hAnsi="Cambria"/>
      <w:color w:val="000000"/>
      <w:sz w:val="23"/>
    </w:rPr>
  </w:style>
  <w:style w:customStyle="1" w:styleId="Compact" w:type="paragraph">
    <w:name w:val="Compact"/>
    <w:basedOn w:val="BodyText"/>
    <w:qFormat/>
    <w:pPr>
      <w:spacing w:after="160" w:before="0" w:line="259" w:lineRule="auto"/>
    </w:pPr>
    <w:rPr>
      <w:rFonts w:ascii="Cambria" w:cs="Cambria" w:eastAsia="Cambria" w:hAnsi="Cambria"/>
      <w:color w:val="000000"/>
      <w:sz w:val="23"/>
    </w:rPr>
  </w:style>
  <w:style w:styleId="Title" w:type="paragraph">
    <w:name w:val="Title"/>
    <w:basedOn w:val="Normal"/>
    <w:next w:val="BodyText"/>
    <w:qFormat/>
    <w:pPr>
      <w:keepNext/>
      <w:keepLines/>
      <w:spacing w:after="160" w:before="480"/>
      <w:jc w:val="left"/>
    </w:pPr>
    <w:rPr>
      <w:rFonts w:ascii="Cambria" w:cs="Cambria" w:eastAsia="Cambria" w:hAnsi="Cambria"/>
      <w:b/>
      <w:bCs/>
      <w:color w:val="1A2B3C"/>
      <w:sz w:val="40"/>
      <w:szCs w:val="36"/>
    </w:rPr>
  </w:style>
  <w:style w:styleId="Subtitle" w:type="paragraph">
    <w:name w:val="Subtitle"/>
    <w:basedOn w:val="Title"/>
    <w:next w:val="BodyText"/>
    <w:qFormat/>
    <w:pPr>
      <w:keepNext/>
      <w:keepLines/>
      <w:spacing w:after="160" w:before="240"/>
      <w:jc w:val="left"/>
    </w:pPr>
    <w:rPr>
      <w:rFonts w:ascii="Cambria" w:cs="Cambria" w:eastAsia="Cambria" w:hAnsi="Cambria"/>
      <w:color w:val="1A2B3C"/>
      <w:sz w:val="22"/>
      <w:szCs w:val="30"/>
    </w:rPr>
  </w:style>
  <w:style w:customStyle="1" w:styleId="Author" w:type="paragraph">
    <w:name w:val="Author"/>
    <w:next w:val="BodyText"/>
    <w:qFormat/>
    <w:pPr>
      <w:keepNext/>
      <w:keepLines/>
      <w:jc w:val="center"/>
    </w:pPr>
    <w:rPr>
      <w:rFonts w:ascii="Cambria" w:cs="Cambria" w:eastAsia="Cambria" w:hAnsi="Cambria"/>
      <w:color w:val="000000"/>
    </w:rPr>
  </w:style>
  <w:style w:styleId="Date" w:type="paragraph">
    <w:name w:val="Date"/>
    <w:next w:val="BodyText"/>
    <w:qFormat/>
    <w:pPr>
      <w:keepNext/>
      <w:keepLines/>
      <w:jc w:val="center"/>
    </w:pPr>
    <w:rPr>
      <w:rFonts w:ascii="Cambria" w:cs="Cambria" w:eastAsia="Cambria" w:hAnsi="Cambria"/>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Cambria" w:cs="Cambria" w:eastAsia="Cambria" w:hAnsi="Cambria"/>
      <w:b/>
    </w:rPr>
  </w:style>
  <w:style w:customStyle="1" w:styleId="Abstract" w:type="paragraph">
    <w:name w:val="Abstract"/>
    <w:basedOn w:val="Normal"/>
    <w:next w:val="BodyText"/>
    <w:qFormat/>
    <w:pPr>
      <w:keepNext/>
      <w:keepLines/>
      <w:spacing w:after="300" w:before="100"/>
    </w:pPr>
    <w:rPr>
      <w:rFonts w:ascii="Cambria" w:cs="Cambria" w:eastAsia="Cambria" w:hAnsi="Cambria"/>
      <w:color w:val="000000"/>
      <w:sz w:val="20"/>
      <w:szCs w:val="20"/>
    </w:rPr>
  </w:style>
  <w:style w:styleId="Bibliography" w:type="paragraph">
    <w:name w:val="Bibliography"/>
    <w:basedOn w:val="Normal"/>
    <w:next w:val="Bibliography"/>
    <w:qFormat/>
    <w:pPr/>
    <w:rPr>
      <w:rFonts w:ascii="Cambria" w:cs="Cambria" w:eastAsia="Cambria" w:hAnsi="Cambria"/>
      <w:color w:val="000000"/>
    </w:rPr>
  </w:style>
  <w:style w:styleId="Heading1" w:type="paragraph">
    <w:name w:val="Heading 1"/>
    <w:basedOn w:val="Normal"/>
    <w:next w:val="BodyText"/>
    <w:uiPriority w:val="9"/>
    <w:qFormat/>
    <w:pPr>
      <w:keepNext/>
      <w:keepLines/>
      <w:spacing w:after="120" w:before="280"/>
      <w:outlineLvl w:val="0"/>
    </w:pPr>
    <w:rPr>
      <w:rFonts w:ascii="Cambria" w:cs="Cambria" w:eastAsia="Cambria" w:hAnsi="Cambria"/>
      <w:b/>
      <w:bCs/>
      <w:i w:val="0"/>
      <w:color w:val="1A2B3C"/>
      <w:sz w:val="30"/>
      <w:szCs w:val="32"/>
    </w:rPr>
  </w:style>
  <w:style w:styleId="Heading2" w:type="paragraph">
    <w:name w:val="Heading 2"/>
    <w:basedOn w:val="Normal"/>
    <w:next w:val="BodyText"/>
    <w:uiPriority w:val="9"/>
    <w:unhideWhenUsed/>
    <w:qFormat/>
    <w:pPr>
      <w:keepNext/>
      <w:keepLines/>
      <w:spacing w:after="120" w:before="200"/>
      <w:outlineLvl w:val="1"/>
    </w:pPr>
    <w:rPr>
      <w:rFonts w:ascii="Cambria" w:cs="Cambria" w:eastAsia="Cambria" w:hAnsi="Cambria"/>
      <w:b/>
      <w:bCs/>
      <w:i w:val="0"/>
      <w:color w:val="1A2B3C"/>
      <w:sz w:val="25"/>
      <w:szCs w:val="28"/>
    </w:rPr>
  </w:style>
  <w:style w:styleId="Heading3" w:type="paragraph">
    <w:name w:val="Heading 3"/>
    <w:basedOn w:val="Normal"/>
    <w:next w:val="BodyText"/>
    <w:uiPriority w:val="9"/>
    <w:unhideWhenUsed/>
    <w:qFormat/>
    <w:pPr>
      <w:keepNext/>
      <w:keepLines/>
      <w:spacing w:after="120" w:before="200"/>
      <w:outlineLvl w:val="2"/>
    </w:pPr>
    <w:rPr>
      <w:rFonts w:ascii="Cambria" w:cs="Cambria" w:eastAsia="Cambria" w:hAnsi="Cambria"/>
      <w:b/>
      <w:bCs/>
      <w:i w:val="0"/>
      <w:color w:val="1A2B3C"/>
      <w:sz w:val="23"/>
      <w:szCs w:val="24"/>
    </w:rPr>
  </w:style>
  <w:style w:styleId="Heading4" w:type="paragraph">
    <w:name w:val="Heading 4"/>
    <w:basedOn w:val="Normal"/>
    <w:next w:val="BodyText"/>
    <w:uiPriority w:val="9"/>
    <w:unhideWhenUsed/>
    <w:qFormat/>
    <w:pPr>
      <w:keepNext/>
      <w:keepLines/>
      <w:spacing w:after="120" w:before="200"/>
      <w:outlineLvl w:val="3"/>
    </w:pPr>
    <w:rPr>
      <w:rFonts w:ascii="Cambria" w:cs="Cambria" w:eastAsia="Cambria" w:hAnsi="Cambria"/>
      <w:i w:val="0"/>
      <w:b/>
      <w:bCs/>
      <w:color w:val="1A2B3C"/>
      <w:sz w:val="23"/>
      <w:szCs w:val="24"/>
    </w:rPr>
  </w:style>
  <w:style w:styleId="Heading5" w:type="paragraph">
    <w:name w:val="Heading 5"/>
    <w:basedOn w:val="Normal"/>
    <w:next w:val="BodyText"/>
    <w:uiPriority w:val="9"/>
    <w:unhideWhenUsed/>
    <w:qFormat/>
    <w:pPr>
      <w:keepNext/>
      <w:keepLines/>
      <w:spacing w:after="0" w:before="200"/>
      <w:outlineLvl w:val="4"/>
    </w:pPr>
    <w:rPr>
      <w:rFonts w:ascii="Cambria" w:cs="Cambria" w:eastAsia="Cambria" w:hAnsi="Cambria"/>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Cambria" w:cs="Cambria" w:eastAsia="Cambria" w:hAnsi="Cambria"/>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Cambria" w:cs="Cambria" w:eastAsia="Cambria" w:hAnsi="Cambria"/>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Cambria" w:cs="Cambria" w:eastAsia="Cambria" w:hAnsi="Cambria"/>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Cambria" w:cs="Cambria" w:eastAsia="Cambria" w:hAnsi="Cambria"/>
      <w:color w:val="000000"/>
      <w:sz w:val="24"/>
      <w:szCs w:val="24"/>
    </w:rPr>
  </w:style>
  <w:style w:styleId="BlockText" w:type="paragraph">
    <w:name w:val="Block Text"/>
    <w:basedOn w:val="BodyText"/>
    <w:next w:val="BodyText"/>
    <w:uiPriority w:val="9"/>
    <w:unhideWhenUsed/>
    <w:qFormat/>
    <w:pPr>
      <w:spacing w:after="160" w:before="0" w:line="259" w:lineRule="auto"/>
      <w:ind w:firstLine="0" w:left="720" w:right="720"/>
    </w:pPr>
    <w:rPr>
      <w:rFonts w:ascii="Cambria" w:cs="Cambria" w:eastAsia="Cambria" w:hAnsi="Cambria"/>
      <w:color w:val="000000"/>
      <w:sz w:val="23"/>
    </w:rPr>
  </w:style>
  <w:style w:styleId="FootnoteText" w:type="paragraph">
    <w:name w:val="Footnote Text"/>
    <w:basedOn w:val="Normal"/>
    <w:next w:val="FootnoteText"/>
    <w:uiPriority w:val="9"/>
    <w:unhideWhenUsed/>
    <w:qFormat/>
    <w:rPr>
      <w:rFonts w:ascii="Cambria" w:cs="Cambria" w:eastAsia="Cambria" w:hAnsi="Cambria"/>
      <w:color w:val="000000"/>
    </w:rPr>
  </w:style>
  <w:style w:default="1" w:styleId="DefaultParagraphFont" w:type="character">
    <w:name w:val="Default Paragraph Font"/>
    <w:semiHidden/>
    <w:unhideWhenUsed/>
    <w:rPr>
      <w:rFonts w:ascii="Cambria" w:cs="Cambria" w:eastAsia="Cambria" w:hAnsi="Cambria"/>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Cambria" w:cs="Cambria" w:eastAsia="Cambria" w:hAnsi="Cambria"/>
      <w:b/>
      <w:color w:val="000000"/>
    </w:rPr>
  </w:style>
  <w:style w:customStyle="1" w:styleId="Definition" w:type="paragraph">
    <w:name w:val="Definition"/>
    <w:basedOn w:val="Normal"/>
    <w:rPr>
      <w:rFonts w:ascii="Cambria" w:cs="Cambria" w:eastAsia="Cambria" w:hAnsi="Cambria"/>
      <w:color w:val="000000"/>
    </w:rPr>
  </w:style>
  <w:style w:styleId="Caption" w:type="paragraph">
    <w:name w:val="Caption"/>
    <w:basedOn w:val="Normal"/>
    <w:link w:val="BodyTextChar"/>
    <w:pPr>
      <w:spacing w:after="120" w:before="0"/>
    </w:pPr>
    <w:rPr>
      <w:rFonts w:ascii="Cambria" w:cs="Cambria" w:eastAsia="Cambria" w:hAnsi="Cambria"/>
      <w:i/>
      <w:color w:val="000000"/>
    </w:rPr>
  </w:style>
  <w:style w:customStyle="1" w:styleId="TableCaption" w:type="paragraph">
    <w:name w:val="Table Caption"/>
    <w:basedOn w:val="Caption"/>
    <w:pPr>
      <w:keepNext/>
    </w:pPr>
    <w:rPr>
      <w:rFonts w:ascii="Cambria" w:cs="Cambria" w:eastAsia="Cambria" w:hAnsi="Cambria"/>
      <w:color w:val="000000"/>
    </w:rPr>
  </w:style>
  <w:style w:customStyle="1" w:styleId="ImageCaption" w:type="paragraph">
    <w:name w:val="Image Caption"/>
    <w:basedOn w:val="Caption"/>
    <w:rPr>
      <w:rFonts w:ascii="Cambria" w:cs="Cambria" w:eastAsia="Cambria" w:hAnsi="Cambria"/>
      <w:color w:val="000000"/>
    </w:rPr>
  </w:style>
  <w:style w:customStyle="1" w:styleId="Figure" w:type="paragraph">
    <w:name w:val="Figure"/>
    <w:basedOn w:val="Normal"/>
    <w:rPr>
      <w:rFonts w:ascii="Cambria" w:cs="Cambria" w:eastAsia="Cambria" w:hAnsi="Cambria"/>
      <w:color w:val="000000"/>
    </w:rPr>
  </w:style>
  <w:style w:customStyle="1" w:styleId="CaptionedFigure" w:type="paragraph">
    <w:name w:val="Captioned Figure"/>
    <w:basedOn w:val="Figure"/>
    <w:pPr>
      <w:keepNext/>
    </w:pPr>
    <w:rPr>
      <w:rFonts w:ascii="Cambria" w:cs="Cambria" w:eastAsia="Cambria" w:hAnsi="Cambria"/>
      <w:color w:val="000000"/>
    </w:rPr>
  </w:style>
  <w:style w:customStyle="1" w:styleId="BodyTextChar" w:type="character">
    <w:name w:val="Body Text Char"/>
    <w:basedOn w:val="DefaultParagraphFont"/>
    <w:link w:val="BodyText"/>
    <w:rPr>
      <w:rFonts w:ascii="Cambria" w:cs="Cambria" w:eastAsia="Cambria" w:hAnsi="Cambria"/>
      <w:color w:val="000000"/>
    </w:rPr>
  </w:style>
  <w:style w:customStyle="1" w:styleId="VerbatimChar" w:type="character">
    <w:name w:val="Verbatim Char"/>
    <w:basedOn w:val="BodyTextChar"/>
    <w:rPr>
      <w:rFonts w:ascii="Cambria" w:cs="Cambria" w:eastAsia="Cambria" w:hAnsi="Cambria"/>
      <w:color w:val="000000"/>
      <w:sz w:val="22"/>
    </w:rPr>
  </w:style>
  <w:style w:customStyle="1" w:styleId="SectionNumber" w:type="character">
    <w:name w:val="Section Number"/>
    <w:basedOn w:val="BodyTextChar"/>
    <w:rPr>
      <w:rFonts w:ascii="Cambria" w:cs="Cambria" w:eastAsia="Cambria" w:hAnsi="Cambria"/>
      <w:color w:val="000000"/>
    </w:rPr>
  </w:style>
  <w:style w:styleId="FootnoteReference" w:type="character">
    <w:name w:val="Footnote Reference"/>
    <w:basedOn w:val="BodyTextChar"/>
    <w:rPr>
      <w:rFonts w:ascii="Cambria" w:cs="Cambria" w:eastAsia="Cambria" w:hAnsi="Cambria"/>
      <w:color w:val="000000"/>
      <w:vertAlign w:val="superscript"/>
    </w:rPr>
  </w:style>
  <w:style w:styleId="Hyperlink" w:type="character">
    <w:name w:val="Hyperlink"/>
    <w:basedOn w:val="BodyTextChar"/>
    <w:rPr>
      <w:rFonts w:ascii="Cambria" w:cs="Cambria" w:eastAsia="Cambria" w:hAnsi="Cambria"/>
      <w:color w:val="1F6E6E"/>
    </w:rPr>
  </w:style>
  <w:style w:styleId="TOCHeading" w:type="paragraph">
    <w:name w:val="TOC Heading"/>
    <w:basedOn w:val="Heading1"/>
    <w:next w:val="BodyText"/>
    <w:uiPriority w:val="39"/>
    <w:unhideWhenUsed/>
    <w:qFormat/>
    <w:pPr>
      <w:spacing w:before="240" w:line="259" w:lineRule="auto"/>
      <w:outlineLvl w:val="9"/>
    </w:pPr>
    <w:rPr>
      <w:rFonts w:ascii="Cambria" w:cs="Cambria" w:eastAsia="Cambria" w:hAnsi="Cambria"/>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0" Type="http://schemas.openxmlformats.org/officeDocument/2006/relationships/hyperlink" Target="https://nhilaw.com/forms/b1-1.html" TargetMode="External"/><Relationship Id="rId21" Type="http://schemas.openxmlformats.org/officeDocument/2006/relationships/hyperlink" Target="https://nhilaw.com/forms/h2-1.html" TargetMode="External"/><Relationship Id="rId22" Type="http://schemas.openxmlformats.org/officeDocument/2006/relationships/hyperlink" Target="https://nhilaw.com/issues/f4.html" TargetMode="External"/><Relationship Id="rId23" Type="http://schemas.openxmlformats.org/officeDocument/2006/relationships/hyperlink" Target="https://nhilaw.com/issues/h3.html"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20" Type="http://schemas.openxmlformats.org/officeDocument/2006/relationships/hyperlink" Target="https://nhilaw.com/forms/b1-1.html" TargetMode="External"/><Relationship Id="rId21" Type="http://schemas.openxmlformats.org/officeDocument/2006/relationships/hyperlink" Target="https://nhilaw.com/forms/h2-1.html" TargetMode="External"/><Relationship Id="rId22" Type="http://schemas.openxmlformats.org/officeDocument/2006/relationships/hyperlink" Target="https://nhilaw.com/issues/f4.html" TargetMode="External"/><Relationship Id="rId23" Type="http://schemas.openxmlformats.org/officeDocument/2006/relationships/hyperlink" Target="https://nhilaw.com/issues/h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H3-1. Privacy Act Request to Amend or Expunge Records Describing a Person's First Amendment Activity (UFO Research, Lectures, and Group Membership)</dc:title>
  <dc:creator>nhilaw.com</dc:creator>
  <cp:keywords/>
  <dcterms:created xsi:type="dcterms:W3CDTF">2026-10-19T03:15:56Z</dcterms:created>
  <dcterms:modified xsi:type="dcterms:W3CDTF">2026-10-19T03:15:56Z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