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Government Surveillance and Disruption of UFO Groups, Researchers, and Experiencers</w:t>
      </w:r>
    </w:p>
    <w:p>
      <w:pPr>
        <w:pStyle w:val="Subtitle"/>
      </w:pPr>
      <w:r>
        <w:t xml:space="preserve">Version 1.10 · October 2026 · nhilaw.com/issues/h3.html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Assume that the CIA, components of DoD (including the Air Force Office of Special Investigations), the</w:t>
      </w:r>
      <w:r>
        <w:t xml:space="preserve"> </w:t>
      </w:r>
      <w:r>
        <w:t xml:space="preserve">FBI, or their contractors watch civilian UFO organizations, researchers, and abductees; place informants in their</w:t>
      </w:r>
      <w:r>
        <w:t xml:space="preserve"> </w:t>
      </w:r>
      <w:r>
        <w:t xml:space="preserve">groups; feed them false information; or act to discredit them. What limits does the law place on that conduct,</w:t>
      </w:r>
      <w:r>
        <w:t xml:space="preserve"> </w:t>
      </w:r>
      <w:r>
        <w:t xml:space="preserve">what remedies exist, and how closely do the cases from COINTELPRO, Operation CHAOS, Army domestic surveillance, and</w:t>
      </w:r>
      <w:r>
        <w:t xml:space="preserve"> </w:t>
      </w:r>
      <w:r>
        <w:t xml:space="preserve">infiltration of student, church, and protest groups fit?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The documentary record starts in 1953: the CIA-sponsored Robertson Panel recommended that civilian UFO groups</w:t>
      </w:r>
      <w:r>
        <w:t xml:space="preserve"> </w:t>
      </w:r>
      <w:r>
        <w:t xml:space="preserve">“</w:t>
      </w:r>
      <w:r>
        <w:t xml:space="preserve">should be watched</w:t>
      </w:r>
      <w:r>
        <w:t xml:space="preserve">”</w:t>
      </w:r>
      <w:r>
        <w:t xml:space="preserve"> </w:t>
      </w:r>
      <w:r>
        <w:t xml:space="preserve">and that</w:t>
      </w:r>
      <w:r>
        <w:t xml:space="preserve"> </w:t>
      </w:r>
      <w:r>
        <w:t xml:space="preserve">“</w:t>
      </w:r>
      <w:r>
        <w:t xml:space="preserve">the possible use of such groups for subversive purposes should be kept in mind.</w:t>
      </w:r>
      <w:r>
        <w:t xml:space="preserve">”</w:t>
      </w:r>
      <w:r>
        <w:t xml:space="preserve"> </w:t>
      </w:r>
      <w:r>
        <w:t xml:space="preserve">Agencies later kept files on contactee figures, and an AFOSI campaign of disinformation aimed at a researcher in</w:t>
      </w:r>
      <w:r>
        <w:t xml:space="preserve"> </w:t>
      </w:r>
      <w:r>
        <w:t xml:space="preserve">New Mexico in the 1980s has been described by a participant.</w:t>
      </w:r>
    </w:p>
    <w:p>
      <w:pPr>
        <w:pStyle w:val="Compact"/>
        <w:numPr>
          <w:ilvl w:val="0"/>
          <w:numId w:val="1001"/>
        </w:numPr>
      </w:pPr>
      <w:r>
        <w:t xml:space="preserve">No reported case decides a claim of surveillance or disruption of a UFO group. UFO organizations appear in the</w:t>
      </w:r>
      <w:r>
        <w:t xml:space="preserve"> </w:t>
      </w:r>
      <w:r>
        <w:t xml:space="preserve">case law only as FOIA requesters, and one of their suits produced the rule courts still apply to judge an</w:t>
      </w:r>
      <w:r>
        <w:t xml:space="preserve"> </w:t>
      </w:r>
      <w:r>
        <w:t xml:space="preserve">agency’s search (</w:t>
      </w:r>
      <w:r>
        <w:rPr>
          <w:iCs/>
          <w:i/>
        </w:rPr>
        <w:t xml:space="preserve">Ground Saucer Watch v. CIA</w:t>
      </w:r>
      <w:r>
        <w:t xml:space="preserve">, 1981).</w:t>
      </w:r>
    </w:p>
    <w:p>
      <w:pPr>
        <w:pStyle w:val="Compact"/>
        <w:numPr>
          <w:ilvl w:val="0"/>
          <w:numId w:val="1001"/>
        </w:numPr>
      </w:pPr>
      <w:r>
        <w:t xml:space="preserve">The COINTELPRO cases supply the governing principle: government action taken to disrupt lawful organizations or</w:t>
      </w:r>
      <w:r>
        <w:t xml:space="preserve"> </w:t>
      </w:r>
      <w:r>
        <w:t xml:space="preserve">deter membership is unconstitutional, and the government may not do covertly what it could not do openly</w:t>
      </w:r>
      <w:r>
        <w:t xml:space="preserve"> </w:t>
      </w:r>
      <w:r>
        <w:t xml:space="preserve">(</w:t>
      </w:r>
      <w:r>
        <w:rPr>
          <w:iCs/>
          <w:i/>
        </w:rPr>
        <w:t xml:space="preserve">Hobson v. Wilson</w:t>
      </w:r>
      <w:r>
        <w:t xml:space="preserve">, 1984). Concealment tolls limitations.</w:t>
      </w:r>
    </w:p>
    <w:p>
      <w:pPr>
        <w:pStyle w:val="Compact"/>
        <w:numPr>
          <w:ilvl w:val="0"/>
          <w:numId w:val="1001"/>
        </w:numPr>
      </w:pPr>
      <w:r>
        <w:t xml:space="preserve">Surveillance alone is rarely actionable in federal court (</w:t>
      </w:r>
      <w:r>
        <w:rPr>
          <w:iCs/>
          <w:i/>
        </w:rPr>
        <w:t xml:space="preserve">Laird v. Tatum</w:t>
      </w:r>
      <w:r>
        <w:t xml:space="preserve">), and an undercover informant who acts</w:t>
      </w:r>
      <w:r>
        <w:t xml:space="preserve"> </w:t>
      </w:r>
      <w:r>
        <w:t xml:space="preserve">in good faith within the scope of the group’s invitation violates neither the Fourth nor the First Amendment</w:t>
      </w:r>
      <w:r>
        <w:t xml:space="preserve"> </w:t>
      </w:r>
      <w:r>
        <w:t xml:space="preserve">(</w:t>
      </w:r>
      <w:r>
        <w:rPr>
          <w:iCs/>
          <w:i/>
        </w:rPr>
        <w:t xml:space="preserve">Panagacos v. Towery</w:t>
      </w:r>
      <w:r>
        <w:t xml:space="preserve">, 9th Cir. 2017, on Army infiltration of an antiwar group).</w:t>
      </w:r>
    </w:p>
    <w:p>
      <w:pPr>
        <w:pStyle w:val="Compact"/>
        <w:numPr>
          <w:ilvl w:val="0"/>
          <w:numId w:val="1001"/>
        </w:numPr>
      </w:pPr>
      <w:r>
        <w:t xml:space="preserve">The best present tool for an individual is the Privacy Act’s ban on agency records describing how a person</w:t>
      </w:r>
      <w:r>
        <w:t xml:space="preserve"> </w:t>
      </w:r>
      <w:r>
        <w:t xml:space="preserve">exercises First Amendment rights, 5 U.S.C. §552a(e)(7); the Ninth Circuit ordered the FBI to expunge a threat</w:t>
      </w:r>
      <w:r>
        <w:t xml:space="preserve"> </w:t>
      </w:r>
      <w:r>
        <w:t xml:space="preserve">assessment of an antiwar website and its editors (</w:t>
      </w:r>
      <w:r>
        <w:rPr>
          <w:iCs/>
          <w:i/>
        </w:rPr>
        <w:t xml:space="preserve">Garris v. FBI</w:t>
      </w:r>
      <w:r>
        <w:t xml:space="preserve">, 2019).</w:t>
      </w:r>
    </w:p>
    <w:p>
      <w:pPr>
        <w:pStyle w:val="Compact"/>
        <w:numPr>
          <w:ilvl w:val="0"/>
          <w:numId w:val="1001"/>
        </w:numPr>
      </w:pPr>
      <w:r>
        <w:t xml:space="preserve">California law gives more: undercover police in UCLA classes stated a claim under the First Amendment and the</w:t>
      </w:r>
      <w:r>
        <w:t xml:space="preserve"> </w:t>
      </w:r>
      <w:r>
        <w:t xml:space="preserve">state constitutional right of privacy, and taxpayer standing avoided</w:t>
      </w:r>
      <w:r>
        <w:t xml:space="preserve"> </w:t>
      </w:r>
      <w:r>
        <w:rPr>
          <w:iCs/>
          <w:i/>
        </w:rPr>
        <w:t xml:space="preserve">Laird</w:t>
      </w:r>
      <w:r>
        <w:t xml:space="preserve"> </w:t>
      </w:r>
      <w:r>
        <w:t xml:space="preserve">(</w:t>
      </w:r>
      <w:r>
        <w:rPr>
          <w:iCs/>
          <w:i/>
        </w:rPr>
        <w:t xml:space="preserve">White v. Davis</w:t>
      </w:r>
      <w:r>
        <w:t xml:space="preserve">, 1975).</w:t>
      </w:r>
    </w:p>
    <w:p>
      <w:pPr>
        <w:pStyle w:val="Compact"/>
        <w:numPr>
          <w:ilvl w:val="0"/>
          <w:numId w:val="1001"/>
        </w:numPr>
      </w:pPr>
      <w:r>
        <w:t xml:space="preserve">Discrediting campaigns fall into a gap: the FTCA excludes libel, slander, misrepresentation, and deceit, and</w:t>
      </w:r>
      <w:r>
        <w:t xml:space="preserve"> </w:t>
      </w:r>
      <w:r>
        <w:rPr>
          <w:iCs/>
          <w:i/>
        </w:rPr>
        <w:t xml:space="preserve">Bivens</w:t>
      </w:r>
      <w:r>
        <w:t xml:space="preserve"> </w:t>
      </w:r>
      <w:r>
        <w:t xml:space="preserve">is closed. Remedies are records correction, inspector general complaints, congressional oversight, and</w:t>
      </w:r>
      <w:r>
        <w:t xml:space="preserve"> </w:t>
      </w:r>
      <w:r>
        <w:t xml:space="preserve">§1985(3) where class-based animus can be shown.</w:t>
      </w:r>
    </w:p>
    <w:p>
      <w:r>
        <w:pict>
          <v:rect style="width:0;height:1.5pt" o:hralign="center" o:hrstd="t" o:hr="t"/>
        </w:pict>
      </w:r>
    </w:p>
    <w:bookmarkEnd w:id="21"/>
    <w:bookmarkStart w:id="23" w:name="summary"/>
    <w:p>
      <w:pPr>
        <w:pStyle w:val="Heading2"/>
      </w:pPr>
      <w:r>
        <w:t xml:space="preserve">1. Summary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Conduct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Remedy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Leading 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Watching public meetings, talks, and posts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 search; chill alone gives no standing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Privacy Act (e)(7) expungement; FOIA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Laird v. Tatum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Garris v. FBI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Informant joins the group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Allowed if in good faith and within the invitation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Damages only with proof that deterring speech was a motivating purpose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Panagacos v. Towery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Presbyterian Church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Disruption: false information, provocation, splitting groups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Unconstitutional when aimed at disrupting lawful groups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§1985(3); state law; formerly</w:t>
            </w:r>
            <w:r>
              <w:t xml:space="preserve"> </w:t>
            </w:r>
            <w:r>
              <w:rPr>
                <w:iCs/>
                <w:i/>
              </w:rPr>
              <w:t xml:space="preserve">Bivens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Hobson v. Wilson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Keeping files on members’ First Amendment 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Barred unless pertinent to an authorized law enforcement 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Amendment and expungement; limited damages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U.S.C. §552a(e)(7)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 statements to discredit a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Government speech; FTCA excludes defamation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Records correction; IG; oversight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Paul v. Davis</w:t>
            </w:r>
            <w:r>
              <w:t xml:space="preserve">;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Issue F4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Demands for membership lists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Exacting scrutiny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Injunction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NAACP v. Alabama</w:t>
            </w:r>
            <w:r>
              <w:t xml:space="preserve">;</w:t>
            </w:r>
            <w:r>
              <w:t xml:space="preserve"> </w:t>
            </w:r>
            <w:r>
              <w:rPr>
                <w:iCs/>
                <w:i/>
              </w:rPr>
              <w:t xml:space="preserve">AFP v. Bonta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Military personnel collecting on civilians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Posse Comitatus; DoD intelligence oversight rules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IG and oversight; rarely a damages claim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Panagacos</w:t>
            </w:r>
            <w:r>
              <w:t xml:space="preserve">; DoDM 5240.01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Start w:id="24" w:name="the-ufo-record"/>
    <w:p>
      <w:pPr>
        <w:pStyle w:val="Heading2"/>
      </w:pPr>
      <w:r>
        <w:t xml:space="preserve">2. The UFO record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Robertson Panel (January 1953).</w:t>
      </w:r>
      <w:r>
        <w:t xml:space="preserve"> </w:t>
      </w:r>
      <w:r>
        <w:t xml:space="preserve">The CIA’s Office of Scientific Intelligence convened a panel of scientists to</w:t>
      </w:r>
      <w:r>
        <w:t xml:space="preserve"> </w:t>
      </w:r>
      <w:r>
        <w:t xml:space="preserve">review UFO reports. Its report recommended a program to reduce public interest in the subject and, under the</w:t>
      </w:r>
      <w:r>
        <w:t xml:space="preserve"> </w:t>
      </w:r>
      <w:r>
        <w:t xml:space="preserve">heading</w:t>
      </w:r>
      <w:r>
        <w:t xml:space="preserve"> </w:t>
      </w:r>
      <w:r>
        <w:t xml:space="preserve">“</w:t>
      </w:r>
      <w:r>
        <w:t xml:space="preserve">Unofficial Investigating Groups,</w:t>
      </w:r>
      <w:r>
        <w:t xml:space="preserve">”</w:t>
      </w:r>
      <w:r>
        <w:t xml:space="preserve"> </w:t>
      </w:r>
      <w:r>
        <w:t xml:space="preserve">recorded that groups such as the Civilian Flying Saucer Investigators</w:t>
      </w:r>
      <w:r>
        <w:t xml:space="preserve"> </w:t>
      </w:r>
      <w:r>
        <w:t xml:space="preserve">(Los Angeles) and the Aerial Phenomena Research Organization (Wisconsin)</w:t>
      </w:r>
      <w:r>
        <w:t xml:space="preserve"> </w:t>
      </w:r>
      <w:r>
        <w:t xml:space="preserve">“</w:t>
      </w:r>
      <w:r>
        <w:t xml:space="preserve">should be watched because of their</w:t>
      </w:r>
      <w:r>
        <w:t xml:space="preserve"> </w:t>
      </w:r>
      <w:r>
        <w:t xml:space="preserve">potentially great influence on mass thinking if widespread sightings should occur,</w:t>
      </w:r>
      <w:r>
        <w:t xml:space="preserve">”</w:t>
      </w:r>
      <w:r>
        <w:t xml:space="preserve"> </w:t>
      </w:r>
      <w:r>
        <w:t xml:space="preserve">adding that</w:t>
      </w:r>
      <w:r>
        <w:t xml:space="preserve"> </w:t>
      </w:r>
      <w:r>
        <w:t xml:space="preserve">“</w:t>
      </w:r>
      <w:r>
        <w:t xml:space="preserve">[t]he apparent</w:t>
      </w:r>
      <w:r>
        <w:t xml:space="preserve"> </w:t>
      </w:r>
      <w:r>
        <w:t xml:space="preserve">irresponsibility and the possible use of such groups for subversive purposes should be kept in mind.</w:t>
      </w:r>
      <w:r>
        <w:t xml:space="preserve">”</w:t>
      </w:r>
      <w:r>
        <w:t xml:space="preserve"> </w:t>
      </w:r>
      <w:r>
        <w:t xml:space="preserve">The report</w:t>
      </w:r>
      <w:r>
        <w:t xml:space="preserve"> </w:t>
      </w:r>
      <w:r>
        <w:t xml:space="preserve">is reproduced in Michael Swords et al.,</w:t>
      </w:r>
      <w:r>
        <w:t xml:space="preserve"> </w:t>
      </w:r>
      <w:r>
        <w:rPr>
          <w:iCs/>
          <w:i/>
        </w:rPr>
        <w:t xml:space="preserve">UFOs and Government: A Historical Inquiry</w:t>
      </w:r>
      <w:r>
        <w:t xml:space="preserve"> </w:t>
      </w:r>
      <w:r>
        <w:t xml:space="preserve">(2012), is held in the CIA’s</w:t>
      </w:r>
      <w:r>
        <w:t xml:space="preserve"> </w:t>
      </w:r>
      <w:r>
        <w:t xml:space="preserve">electronic reading room as document CIA-RDP81R00100030027-0, and is included in the PURSUE release CIA-UAP-002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Issue F4</w:t>
        </w:r>
      </w:hyperlink>
      <w:r>
        <w:t xml:space="preserve"> </w:t>
      </w:r>
      <w:r>
        <w:t xml:space="preserve">§2). AARO’s own historical report describes the panel’s proposal for a</w:t>
      </w:r>
      <w:r>
        <w:t xml:space="preserve"> </w:t>
      </w:r>
      <w:r>
        <w:t xml:space="preserve">“</w:t>
      </w:r>
      <w:r>
        <w:t xml:space="preserve">debunking</w:t>
      </w:r>
      <w:r>
        <w:t xml:space="preserve">”</w:t>
      </w:r>
      <w:r>
        <w:t xml:space="preserve"> </w:t>
      </w:r>
      <w:r>
        <w:t xml:space="preserve">effort through public</w:t>
      </w:r>
      <w:r>
        <w:t xml:space="preserve"> </w:t>
      </w:r>
      <w:r>
        <w:t xml:space="preserve">media. All-domain Anomaly Resolution Office,</w:t>
      </w:r>
      <w:r>
        <w:t xml:space="preserve"> </w:t>
      </w:r>
      <w:r>
        <w:rPr>
          <w:iCs/>
          <w:i/>
        </w:rPr>
        <w:t xml:space="preserve">Report on the Historical Record of U.S. Government Involvement with</w:t>
      </w:r>
      <w:r>
        <w:rPr>
          <w:iCs/>
          <w:i/>
        </w:rPr>
        <w:t xml:space="preserve"> </w:t>
      </w:r>
      <w:r>
        <w:rPr>
          <w:iCs/>
          <w:i/>
        </w:rPr>
        <w:t xml:space="preserve">Unidentified Anomalous Phenomena (UAP)</w:t>
      </w:r>
      <w:r>
        <w:t xml:space="preserve">, vol. I, at 17, 27 (Feb. 2024). The same history describes later official concern with how to</w:t>
      </w:r>
      <w:r>
        <w:t xml:space="preserve"> </w:t>
      </w:r>
      <w:r>
        <w:t xml:space="preserve">“</w:t>
      </w:r>
      <w:r>
        <w:t xml:space="preserve">monitor</w:t>
      </w:r>
      <w:r>
        <w:t xml:space="preserve"> </w:t>
      </w:r>
      <w:r>
        <w:t xml:space="preserve">the activities of the civilian groups,</w:t>
      </w:r>
      <w:r>
        <w:t xml:space="preserve">”</w:t>
      </w:r>
      <w:r>
        <w:t xml:space="preserve"> </w:t>
      </w:r>
      <w:r>
        <w:t xml:space="preserve">including NICAP, whose board included former Director of Central</w:t>
      </w:r>
      <w:r>
        <w:t xml:space="preserve"> </w:t>
      </w:r>
      <w:r>
        <w:t xml:space="preserve">Intelligence Roscoe Hillenkoetter.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FBI files.</w:t>
      </w:r>
      <w:r>
        <w:t xml:space="preserve"> </w:t>
      </w:r>
      <w:r>
        <w:t xml:space="preserve">The FBI kept files on 1950s contactee figures and gatherings. Clients and groups can request their</w:t>
      </w:r>
      <w:r>
        <w:t xml:space="preserve"> </w:t>
      </w:r>
      <w:r>
        <w:t xml:space="preserve">own files and those of deceased figures (§6).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Paul Bennewitz.</w:t>
      </w:r>
      <w:r>
        <w:t xml:space="preserve"> </w:t>
      </w:r>
      <w:r>
        <w:t xml:space="preserve">In the early 1980s a businessman in Albuquerque who recorded signals near Kirtland Air Force</w:t>
      </w:r>
      <w:r>
        <w:t xml:space="preserve"> </w:t>
      </w:r>
      <w:r>
        <w:t xml:space="preserve">Base became the subject of an AFOSI effort that fed him false material; a former AFOSI agent later described his</w:t>
      </w:r>
      <w:r>
        <w:t xml:space="preserve"> </w:t>
      </w:r>
      <w:r>
        <w:t xml:space="preserve">role, and Bennewitz was hospitalized. Greg Bishop,</w:t>
      </w:r>
      <w:r>
        <w:t xml:space="preserve"> </w:t>
      </w:r>
      <w:r>
        <w:rPr>
          <w:iCs/>
          <w:i/>
        </w:rPr>
        <w:t xml:space="preserve">Project Beta</w:t>
      </w:r>
      <w:r>
        <w:t xml:space="preserve"> </w:t>
      </w:r>
      <w:r>
        <w:t xml:space="preserve">(2005). These accounts are allegations, but</w:t>
      </w:r>
      <w:r>
        <w:t xml:space="preserve"> </w:t>
      </w:r>
      <w:r>
        <w:t xml:space="preserve">they describe the conduct this issue addresses: a government campaign directed at an individual researcher’s</w:t>
      </w:r>
      <w:r>
        <w:t xml:space="preserve"> </w:t>
      </w:r>
      <w:r>
        <w:t xml:space="preserve">credibility and state of mind.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Present working premise.</w:t>
      </w:r>
      <w:r>
        <w:t xml:space="preserve"> </w:t>
      </w:r>
      <w:r>
        <w:t xml:space="preserve">The site treats AARO as a deliberate source of disinformation in the concealment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Issue F4</w:t>
        </w:r>
      </w:hyperlink>
      <w:r>
        <w:t xml:space="preserve"> </w:t>
      </w:r>
      <w:r>
        <w:t xml:space="preserve">§2A). The law that applies to AARO’s treatment of witnesses is in</w:t>
      </w:r>
      <w:r>
        <w:t xml:space="preserve"> </w:t>
      </w:r>
      <w:hyperlink r:id="rId22">
        <w:r>
          <w:rPr>
            <w:rStyle w:val="Hyperlink"/>
          </w:rPr>
          <w:t xml:space="preserve">Issue F4</w:t>
        </w:r>
      </w:hyperlink>
      <w:r>
        <w:t xml:space="preserve">; this issue covers watching</w:t>
      </w:r>
      <w:r>
        <w:t xml:space="preserve"> </w:t>
      </w:r>
      <w:r>
        <w:t xml:space="preserve">and disrupting private groups.</w:t>
      </w:r>
    </w:p>
    <w:p>
      <w:pPr>
        <w:pStyle w:val="FirstParagraph"/>
      </w:pPr>
      <w:r>
        <w:t xml:space="preserve">UFO organizations appear in reported cases as FOIA plaintiffs.</w:t>
      </w:r>
      <w:r>
        <w:t xml:space="preserve"> </w:t>
      </w:r>
      <w:r>
        <w:rPr>
          <w:iCs/>
          <w:i/>
        </w:rPr>
        <w:t xml:space="preserve">Ground Saucer Watch, Inc. v. CIA</w:t>
      </w:r>
      <w:r>
        <w:t xml:space="preserve">, 692 F.2d 770,</w:t>
      </w:r>
      <w:r>
        <w:t xml:space="preserve"> </w:t>
      </w:r>
      <w:r>
        <w:t xml:space="preserve">771 (D.C. Cir. 1981), held that agency declarations describing a search are presumed to be made in good faith and</w:t>
      </w:r>
      <w:r>
        <w:t xml:space="preserve"> </w:t>
      </w:r>
      <w:r>
        <w:t xml:space="preserve">cannot be rebutted by</w:t>
      </w:r>
      <w:r>
        <w:t xml:space="preserve"> </w:t>
      </w:r>
      <w:r>
        <w:t xml:space="preserve">“</w:t>
      </w:r>
      <w:r>
        <w:t xml:space="preserve">purely speculative claims about the existence and discoverability of other documents,</w:t>
      </w:r>
      <w:r>
        <w:t xml:space="preserve">”</w:t>
      </w:r>
      <w:r>
        <w:t xml:space="preserve"> </w:t>
      </w:r>
      <w:r>
        <w:t xml:space="preserve">a</w:t>
      </w:r>
      <w:r>
        <w:t xml:space="preserve"> </w:t>
      </w:r>
      <w:r>
        <w:t xml:space="preserve">rule still cited in FOIA cases. See also</w:t>
      </w:r>
      <w:r>
        <w:t xml:space="preserve"> </w:t>
      </w:r>
      <w:r>
        <w:rPr>
          <w:iCs/>
          <w:i/>
        </w:rPr>
        <w:t xml:space="preserve">Citizens Against UFO Secrecy v. NSA</w:t>
      </w:r>
      <w:r>
        <w:t xml:space="preserve">, 672 F.2d 893 (D.C. Cir. 1981)</w:t>
      </w:r>
      <w:r>
        <w:t xml:space="preserve"> </w:t>
      </w:r>
      <w:r>
        <w:t xml:space="preserve">(table), cert. denied, 455 U.S. 1002 (1982).</w:t>
      </w:r>
    </w:p>
    <w:p>
      <w:r>
        <w:pict>
          <v:rect style="width:0;height:1.5pt" o:hralign="center" o:hrstd="t" o:hr="t"/>
        </w:pict>
      </w:r>
    </w:p>
    <w:bookmarkEnd w:id="24"/>
    <w:bookmarkStart w:id="30" w:name="X639c6bc4ed017acbabb71f370039017bc550c3a"/>
    <w:p>
      <w:pPr>
        <w:pStyle w:val="Heading2"/>
      </w:pPr>
      <w:r>
        <w:t xml:space="preserve">3. The historical parallels and the law they produced</w:t>
      </w:r>
    </w:p>
    <w:bookmarkStart w:id="25" w:name="cointelpro"/>
    <w:p>
      <w:pPr>
        <w:pStyle w:val="Heading3"/>
      </w:pPr>
      <w:r>
        <w:t xml:space="preserve">3.1 COINTELPRO</w:t>
      </w:r>
    </w:p>
    <w:p>
      <w:pPr>
        <w:pStyle w:val="FirstParagraph"/>
      </w:pPr>
      <w:r>
        <w:t xml:space="preserve">From 1956 to 1971 the FBI ran counterintelligence programs aimed at the Communist Party, the Socialist Workers</w:t>
      </w:r>
      <w:r>
        <w:t xml:space="preserve"> </w:t>
      </w:r>
      <w:r>
        <w:t xml:space="preserve">Party, civil rights and Black nationalist groups, the New Left, and antiwar groups, with the stated purpose to</w:t>
      </w:r>
      <w:r>
        <w:t xml:space="preserve"> </w:t>
      </w:r>
      <w:r>
        <w:t xml:space="preserve">“</w:t>
      </w:r>
      <w:r>
        <w:t xml:space="preserve">expose, disrupt, misdirect, discredit, or otherwise neutralize</w:t>
      </w:r>
      <w:r>
        <w:t xml:space="preserve">”</w:t>
      </w:r>
      <w:r>
        <w:t xml:space="preserve"> </w:t>
      </w:r>
      <w:r>
        <w:t xml:space="preserve">them. Senate Select Committee to Study</w:t>
      </w:r>
      <w:r>
        <w:t xml:space="preserve"> </w:t>
      </w:r>
      <w:r>
        <w:t xml:space="preserve">Governmental Operations with Respect to Intelligence Activities (Church Committee), Final Report, Book II and Book</w:t>
      </w:r>
      <w:r>
        <w:t xml:space="preserve"> </w:t>
      </w:r>
      <w:r>
        <w:t xml:space="preserve">III (1976).</w:t>
      </w:r>
    </w:p>
    <w:p>
      <w:pPr>
        <w:pStyle w:val="BodyText"/>
      </w:pPr>
      <w:r>
        <w:rPr>
          <w:iCs/>
          <w:i/>
        </w:rPr>
        <w:t xml:space="preserve">Hobson v. Wilson</w:t>
      </w:r>
      <w:r>
        <w:t xml:space="preserve">, 737 F.2d 1 (D.C. Cir. 1984) (overruled in part on other grounds by</w:t>
      </w:r>
      <w:r>
        <w:t xml:space="preserve"> </w:t>
      </w:r>
      <w:r>
        <w:rPr>
          <w:iCs/>
          <w:i/>
        </w:rPr>
        <w:t xml:space="preserve">Leatherman v. Tarrant</w:t>
      </w:r>
      <w:r>
        <w:rPr>
          <w:iCs/>
          <w:i/>
        </w:rPr>
        <w:t xml:space="preserve"> </w:t>
      </w:r>
      <w:r>
        <w:rPr>
          <w:iCs/>
          <w:i/>
        </w:rPr>
        <w:t xml:space="preserve">County Narcotics Intelligence &amp; Coordination Unit</w:t>
      </w:r>
      <w:r>
        <w:t xml:space="preserve">, 507 U.S. 163 (1993), which rejected heightened pleading for civil</w:t>
      </w:r>
      <w:r>
        <w:t xml:space="preserve"> </w:t>
      </w:r>
      <w:r>
        <w:t xml:space="preserve">rights claims), reviewed jury verdicts for antiwar and civil rights activists</w:t>
      </w:r>
      <w:r>
        <w:t xml:space="preserve"> </w:t>
      </w:r>
      <w:r>
        <w:t xml:space="preserve">against FBI agents and District of Columbia police.</w:t>
      </w:r>
    </w:p>
    <w:p>
      <w:pPr>
        <w:pStyle w:val="Compact"/>
        <w:numPr>
          <w:ilvl w:val="0"/>
          <w:numId w:val="1003"/>
        </w:numPr>
      </w:pPr>
      <w:r>
        <w:t xml:space="preserve">Government action taken with the intent to disrupt or destroy lawful organizations, or to deter membership in</w:t>
      </w:r>
      <w:r>
        <w:t xml:space="preserve"> </w:t>
      </w:r>
      <w:r>
        <w:t xml:space="preserve">them, is unconstitutional, and the government may not do covertly what it could not do openly.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27-29.</w:t>
      </w:r>
    </w:p>
    <w:p>
      <w:pPr>
        <w:pStyle w:val="Compact"/>
        <w:numPr>
          <w:ilvl w:val="0"/>
          <w:numId w:val="1003"/>
        </w:numPr>
      </w:pPr>
      <w:r>
        <w:t xml:space="preserve">42 U.S.C. §1985(3) reaches conspiracies by federal officers, and the FBI’s targeting of Black groups and their</w:t>
      </w:r>
      <w:r>
        <w:t xml:space="preserve"> </w:t>
      </w:r>
      <w:r>
        <w:t xml:space="preserve">supporters, including efforts to split them from antiwar groups, supplied class-based animus.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14-23.</w:t>
      </w:r>
    </w:p>
    <w:p>
      <w:pPr>
        <w:pStyle w:val="Compact"/>
        <w:numPr>
          <w:ilvl w:val="0"/>
          <w:numId w:val="1003"/>
        </w:numPr>
      </w:pPr>
      <w:r>
        <w:t xml:space="preserve">Limitations were tolled for wrongs concealed by the defendants. Reading a magazine article describing</w:t>
      </w:r>
      <w:r>
        <w:t xml:space="preserve"> </w:t>
      </w:r>
      <w:r>
        <w:t xml:space="preserve">COINTELPRO did not put a person on notice that he was a target; three plaintiffs who had read such articles and</w:t>
      </w:r>
      <w:r>
        <w:t xml:space="preserve"> </w:t>
      </w:r>
      <w:r>
        <w:t xml:space="preserve">knew they were under investigation were on notice.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33-41.</w:t>
      </w:r>
    </w:p>
    <w:p>
      <w:pPr>
        <w:pStyle w:val="Compact"/>
        <w:numPr>
          <w:ilvl w:val="0"/>
          <w:numId w:val="1003"/>
        </w:numPr>
      </w:pPr>
      <w:r>
        <w:t xml:space="preserve">Intelligence gathering by police through informants and observation, without evidence tying individual</w:t>
      </w:r>
      <w:r>
        <w:t xml:space="preserve"> </w:t>
      </w:r>
      <w:r>
        <w:t xml:space="preserve">defendants to disruption, did not support liability, and the verdicts against the District of Columbia</w:t>
      </w:r>
      <w:r>
        <w:t xml:space="preserve"> </w:t>
      </w:r>
      <w:r>
        <w:t xml:space="preserve">defendants were reversed.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51-57.</w:t>
      </w:r>
    </w:p>
    <w:p>
      <w:pPr>
        <w:pStyle w:val="FirstParagraph"/>
      </w:pPr>
      <w:r>
        <w:rPr>
          <w:iCs/>
          <w:i/>
        </w:rPr>
        <w:t xml:space="preserve">Kenyatta v. Moore</w:t>
      </w:r>
      <w:r>
        <w:t xml:space="preserve">, 623 F. Supp. 224 (S.D. Miss. 1985), likewise held that §1985(3) applies to federal officials.</w:t>
      </w:r>
      <w:r>
        <w:t xml:space="preserve"> </w:t>
      </w:r>
      <w:r>
        <w:rPr>
          <w:iCs/>
          <w:i/>
        </w:rPr>
        <w:t xml:space="preserve">Socialist Workers Party v. Attorney General</w:t>
      </w:r>
      <w:r>
        <w:t xml:space="preserve">, 642 F. Supp. 1357 (S.D.N.Y. 1986), awarded damages under the FTCA for</w:t>
      </w:r>
      <w:r>
        <w:t xml:space="preserve"> </w:t>
      </w:r>
      <w:r>
        <w:t xml:space="preserve">FBI break-ins and the use of informants against a lawful political party.</w:t>
      </w:r>
    </w:p>
    <w:bookmarkEnd w:id="25"/>
    <w:bookmarkStart w:id="26" w:name="operation-chaos-and-campus-programs"/>
    <w:p>
      <w:pPr>
        <w:pStyle w:val="Heading3"/>
      </w:pPr>
      <w:r>
        <w:t xml:space="preserve">3.2 Operation CHAOS and campus programs</w:t>
      </w:r>
    </w:p>
    <w:p>
      <w:pPr>
        <w:pStyle w:val="FirstParagraph"/>
      </w:pPr>
      <w:r>
        <w:t xml:space="preserve">The CIA’s Operation CHAOS (1967-1974) collected information on Americans in the antiwar and student movements,</w:t>
      </w:r>
      <w:r>
        <w:t xml:space="preserve"> </w:t>
      </w:r>
      <w:r>
        <w:t xml:space="preserve">contrary to the agency’s charter. Commission on CIA Activities Within the United States (Rockefeller Commission),</w:t>
      </w:r>
      <w:r>
        <w:t xml:space="preserve"> </w:t>
      </w:r>
      <w:r>
        <w:t xml:space="preserve">Report (1975), ch. 11. Claims arising from CHAOS and NSA watch lists failed on the state secrets privilege.</w:t>
      </w:r>
      <w:r>
        <w:t xml:space="preserve"> </w:t>
      </w:r>
      <w:r>
        <w:rPr>
          <w:iCs/>
          <w:i/>
        </w:rPr>
        <w:t xml:space="preserve">Halkin</w:t>
      </w:r>
      <w:r>
        <w:rPr>
          <w:iCs/>
          <w:i/>
        </w:rPr>
        <w:t xml:space="preserve"> </w:t>
      </w:r>
      <w:r>
        <w:rPr>
          <w:iCs/>
          <w:i/>
        </w:rPr>
        <w:t xml:space="preserve">v. Helms</w:t>
      </w:r>
      <w:r>
        <w:t xml:space="preserve">, 690 F.2d 977 (D.C. Cir. 1982). The CIA had also secretly funded the National Student Association until</w:t>
      </w:r>
      <w:r>
        <w:t xml:space="preserve"> </w:t>
      </w:r>
      <w:r>
        <w:rPr>
          <w:iCs/>
          <w:i/>
        </w:rPr>
        <w:t xml:space="preserve">Ramparts</w:t>
      </w:r>
      <w:r>
        <w:t xml:space="preserve"> </w:t>
      </w:r>
      <w:r>
        <w:t xml:space="preserve">disclosed it in 1967.</w:t>
      </w:r>
    </w:p>
    <w:p>
      <w:pPr>
        <w:pStyle w:val="BodyText"/>
      </w:pPr>
      <w:r>
        <w:rPr>
          <w:iCs/>
          <w:i/>
        </w:rPr>
        <w:t xml:space="preserve">White v. Davis</w:t>
      </w:r>
      <w:r>
        <w:t xml:space="preserve">, 13 Cal. 3d 757 (1975), is the strongest case on infiltration of an educational setting. Los</w:t>
      </w:r>
      <w:r>
        <w:t xml:space="preserve"> </w:t>
      </w:r>
      <w:r>
        <w:t xml:space="preserve">Angeles police officers enrolled at UCLA as students, recorded class discussions and meetings, and kept dossiers.</w:t>
      </w:r>
      <w:r>
        <w:t xml:space="preserve"> </w:t>
      </w:r>
      <w:r>
        <w:t xml:space="preserve">The California Supreme Court held that the complaint stated a prima facie violation of freedom of speech and</w:t>
      </w:r>
      <w:r>
        <w:t xml:space="preserve"> </w:t>
      </w:r>
      <w:r>
        <w:t xml:space="preserve">assembly and of the right of privacy added to the state constitution in 1972, so that the government had to show</w:t>
      </w:r>
      <w:r>
        <w:t xml:space="preserve"> </w:t>
      </w:r>
      <w:r>
        <w:t xml:space="preserve">a compelling interest and no less restrictive alternative.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760-61, 767-76. California’s taxpayer-standing</w:t>
      </w:r>
      <w:r>
        <w:t xml:space="preserve"> </w:t>
      </w:r>
      <w:r>
        <w:t xml:space="preserve">statute, Code Civ. Proc. §526a, allowed the suit despite</w:t>
      </w:r>
      <w:r>
        <w:t xml:space="preserve"> </w:t>
      </w:r>
      <w:r>
        <w:rPr>
          <w:iCs/>
          <w:i/>
        </w:rPr>
        <w:t xml:space="preserve">Laird</w:t>
      </w:r>
      <w:r>
        <w:t xml:space="preserve">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763-66.</w:t>
      </w:r>
    </w:p>
    <w:bookmarkEnd w:id="26"/>
    <w:bookmarkStart w:id="27" w:name="army-surveillance"/>
    <w:p>
      <w:pPr>
        <w:pStyle w:val="Heading3"/>
      </w:pPr>
      <w:r>
        <w:t xml:space="preserve">3.3 Army surveillance</w:t>
      </w:r>
    </w:p>
    <w:p>
      <w:pPr>
        <w:pStyle w:val="FirstParagraph"/>
      </w:pPr>
      <w:r>
        <w:rPr>
          <w:iCs/>
          <w:i/>
        </w:rPr>
        <w:t xml:space="preserve">Laird v. Tatum</w:t>
      </w:r>
      <w:r>
        <w:t xml:space="preserve">, 408 U.S. 1 (1972), held that people subject to the Army’s domestic intelligence program lacked</w:t>
      </w:r>
      <w:r>
        <w:t xml:space="preserve"> </w:t>
      </w:r>
      <w:r>
        <w:t xml:space="preserve">standing to challenge it based only on a subjective chill. The Army’s response to the scandal was a set of rules on</w:t>
      </w:r>
      <w:r>
        <w:t xml:space="preserve"> </w:t>
      </w:r>
      <w:r>
        <w:t xml:space="preserve">collecting information about civilians, now carried forward in DoD Manual 5240.01.</w:t>
      </w:r>
    </w:p>
    <w:p>
      <w:pPr>
        <w:pStyle w:val="BodyText"/>
      </w:pPr>
      <w:r>
        <w:t xml:space="preserve">The Army returned to the practice in 2007. A civilian employee of the Army’s Force Protection Division at Fort</w:t>
      </w:r>
      <w:r>
        <w:t xml:space="preserve"> </w:t>
      </w:r>
      <w:r>
        <w:t xml:space="preserve">Lewis used a false identity to join Port Militarization Resistance, a nonviolent group protesting military</w:t>
      </w:r>
      <w:r>
        <w:t xml:space="preserve"> </w:t>
      </w:r>
      <w:r>
        <w:t xml:space="preserve">shipments through Olympia and Tacoma, and passed what he learned to a supervisor, who shared it with local police.</w:t>
      </w:r>
      <w:r>
        <w:t xml:space="preserve"> </w:t>
      </w:r>
      <w:r>
        <w:t xml:space="preserve">The activists’ claims failed.</w:t>
      </w:r>
      <w:r>
        <w:t xml:space="preserve"> </w:t>
      </w:r>
      <w:r>
        <w:rPr>
          <w:iCs/>
          <w:i/>
        </w:rPr>
        <w:t xml:space="preserve">Panagacos v. Towery</w:t>
      </w:r>
      <w:r>
        <w:t xml:space="preserve">, 2014 WL 3579648, at</w:t>
      </w:r>
      <w:r>
        <w:t xml:space="preserve"> </w:t>
      </w:r>
      <w:r>
        <w:rPr>
          <w:iCs/>
          <w:i/>
        </w:rPr>
        <w:t xml:space="preserve">7-8 (W.D. Wash. July 21, 2014), aff’d in</w:t>
      </w:r>
      <w:r>
        <w:rPr>
          <w:iCs/>
          <w:i/>
        </w:rPr>
        <w:t xml:space="preserve"> </w:t>
      </w:r>
      <w:r>
        <w:rPr>
          <w:iCs/>
          <w:i/>
        </w:rPr>
        <w:t xml:space="preserve">relevant part, 692 F. App’x 330 (9th Cir. 2017) (mem.). The Ninth Circuit held that an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invited informer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is not a</w:t>
      </w:r>
      <w:r>
        <w:rPr>
          <w:iCs/>
          <w:i/>
        </w:rPr>
        <w:t xml:space="preserve"> </w:t>
      </w:r>
      <w:r>
        <w:rPr>
          <w:iCs/>
          <w:i/>
        </w:rPr>
        <w:t xml:space="preserve">Fourth Amendment search; that an informant violates no First Amendment right when acting in good faith, not for the</w:t>
      </w:r>
      <w:r>
        <w:rPr>
          <w:iCs/>
          <w:i/>
        </w:rPr>
        <w:t xml:space="preserve"> </w:t>
      </w:r>
      <w:r>
        <w:rPr>
          <w:iCs/>
          <w:i/>
        </w:rPr>
        <w:t xml:space="preserve">purpose of abridging First Amendment freedoms, and within the scope of the invitation to participate (</w:t>
      </w:r>
      <w:r>
        <w:t xml:space="preserve">United</w:t>
      </w:r>
      <w:r>
        <w:t xml:space="preserve"> </w:t>
      </w:r>
      <w:r>
        <w:t xml:space="preserve">States v. Mayer*, 503 F.3d 740, 750 (9th Cir. 2007)); that the plaintiffs had to show that deterring their speech</w:t>
      </w:r>
      <w:r>
        <w:t xml:space="preserve"> </w:t>
      </w:r>
      <w:r>
        <w:t xml:space="preserve">was a substantial or motivating factor; and that any Fourth Amendment violation arising from a breach of the Posse</w:t>
      </w:r>
      <w:r>
        <w:t xml:space="preserve"> </w:t>
      </w:r>
      <w:r>
        <w:t xml:space="preserve">Comitatus Act was not clearly established.</w:t>
      </w:r>
    </w:p>
    <w:bookmarkEnd w:id="27"/>
    <w:bookmarkStart w:id="28" w:name="churches-mosques-and-protest-groups"/>
    <w:p>
      <w:pPr>
        <w:pStyle w:val="Heading3"/>
      </w:pPr>
      <w:r>
        <w:t xml:space="preserve">3.4 Churches, mosques, and protest groups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Presbyterian Church (U.S.A.) v. United States</w:t>
      </w:r>
      <w:r>
        <w:t xml:space="preserve">, 870 F.2d 518 (9th Cir. 1989): churches had standing to challenge</w:t>
      </w:r>
      <w:r>
        <w:t xml:space="preserve"> </w:t>
      </w:r>
      <w:r>
        <w:t xml:space="preserve">INS informants who recorded worship services, because the surveillance reduced attendance and participation. On</w:t>
      </w:r>
      <w:r>
        <w:t xml:space="preserve"> </w:t>
      </w:r>
      <w:r>
        <w:t xml:space="preserve">remand the individual agents received qualified immunity, 752 F. Supp. 1505, 1512-14 (D. Ariz. 1990).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Hassan v. City of New York</w:t>
      </w:r>
      <w:r>
        <w:t xml:space="preserve">, 804 F.3d 277 (3d Cir. 2015): Muslims surveilled by the NYPD in New Jersey had</w:t>
      </w:r>
      <w:r>
        <w:t xml:space="preserve"> </w:t>
      </w:r>
      <w:r>
        <w:t xml:space="preserve">standing and stated equal protection claims.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FBI v. Fazaga</w:t>
      </w:r>
      <w:r>
        <w:t xml:space="preserve">, 595 U.S. 344 (2022): an FBI informant in California mosques; the FISA procedures for reviewing</w:t>
      </w:r>
      <w:r>
        <w:t xml:space="preserve"> </w:t>
      </w:r>
      <w:r>
        <w:t xml:space="preserve">surveillance do not displace the state secrets privilege.</w:t>
      </w:r>
    </w:p>
    <w:p>
      <w:pPr>
        <w:pStyle w:val="Compact"/>
        <w:numPr>
          <w:ilvl w:val="0"/>
          <w:numId w:val="1004"/>
        </w:numPr>
      </w:pPr>
      <w:r>
        <w:t xml:space="preserve">Consent decrees limit police political intelligence in New York (</w:t>
      </w:r>
      <w:r>
        <w:rPr>
          <w:iCs/>
          <w:i/>
        </w:rPr>
        <w:t xml:space="preserve">Handschu v. Special Services Division</w:t>
      </w:r>
      <w:r>
        <w:t xml:space="preserve">, the</w:t>
      </w:r>
      <w:r>
        <w:t xml:space="preserve"> </w:t>
      </w:r>
      <w:r>
        <w:t xml:space="preserve">Handschu Guidelines), Chicago (</w:t>
      </w:r>
      <w:r>
        <w:rPr>
          <w:iCs/>
          <w:i/>
        </w:rPr>
        <w:t xml:space="preserve">Alliance to End Repression v. City of Chicago</w:t>
      </w:r>
      <w:r>
        <w:t xml:space="preserve">, 742 F.2d 1007 (7th Cir. 1984) (en</w:t>
      </w:r>
      <w:r>
        <w:t xml:space="preserve"> </w:t>
      </w:r>
      <w:r>
        <w:t xml:space="preserve">banc)), and Memphis (</w:t>
      </w:r>
      <w:r>
        <w:rPr>
          <w:iCs/>
          <w:i/>
        </w:rPr>
        <w:t xml:space="preserve">Kendrick</w:t>
      </w:r>
      <w:r>
        <w:t xml:space="preserve">; enforced in</w:t>
      </w:r>
      <w:r>
        <w:t xml:space="preserve"> </w:t>
      </w:r>
      <w:r>
        <w:rPr>
          <w:iCs/>
          <w:i/>
        </w:rPr>
        <w:t xml:space="preserve">ACLU of Tennessee v. City of Memphis</w:t>
      </w:r>
      <w:r>
        <w:t xml:space="preserve">).</w:t>
      </w:r>
    </w:p>
    <w:bookmarkEnd w:id="28"/>
    <w:bookmarkStart w:id="29" w:name="greenpeace"/>
    <w:p>
      <w:pPr>
        <w:pStyle w:val="Heading3"/>
      </w:pPr>
      <w:r>
        <w:t xml:space="preserve">3.5 Greenpeace</w:t>
      </w:r>
    </w:p>
    <w:p>
      <w:pPr>
        <w:pStyle w:val="FirstParagraph"/>
      </w:pPr>
      <w:r>
        <w:t xml:space="preserve">A security firm hired by corporations took Greenpeace’s trash and documents from 1998 to 2000. Greenpeace’s suit</w:t>
      </w:r>
      <w:r>
        <w:t xml:space="preserve"> </w:t>
      </w:r>
      <w:r>
        <w:t xml:space="preserve">failed: documents placed in the trash were abandoned, which defeated conversion and trespass claims,</w:t>
      </w:r>
      <w:r>
        <w:t xml:space="preserve"> </w:t>
      </w:r>
      <w:r>
        <w:rPr>
          <w:iCs/>
          <w:i/>
        </w:rPr>
        <w:t xml:space="preserve">Greenpeace,</w:t>
      </w:r>
      <w:r>
        <w:rPr>
          <w:iCs/>
          <w:i/>
        </w:rPr>
        <w:t xml:space="preserve"> </w:t>
      </w:r>
      <w:r>
        <w:rPr>
          <w:iCs/>
          <w:i/>
        </w:rPr>
        <w:t xml:space="preserve">Inc. v. Dow Chemical Co.</w:t>
      </w:r>
      <w:r>
        <w:t xml:space="preserve">, 97 A.3d 1053 (D.C. 2014), and the RICO claims were dismissed, 808 F. Supp. 2d 262</w:t>
      </w:r>
      <w:r>
        <w:t xml:space="preserve"> </w:t>
      </w:r>
      <w:r>
        <w:t xml:space="preserve">(D.D.C. 2011). French intelligence agents sank Greenpeace’s ship</w:t>
      </w:r>
      <w:r>
        <w:t xml:space="preserve"> </w:t>
      </w:r>
      <w:r>
        <w:rPr>
          <w:iCs/>
          <w:i/>
        </w:rPr>
        <w:t xml:space="preserve">Rainbow Warrior</w:t>
      </w:r>
      <w:r>
        <w:t xml:space="preserve"> </w:t>
      </w:r>
      <w:r>
        <w:t xml:space="preserve">in Auckland in 1985. In the United</w:t>
      </w:r>
      <w:r>
        <w:t xml:space="preserve"> </w:t>
      </w:r>
      <w:r>
        <w:t xml:space="preserve">Kingdom, undercover police officers spent years inside environmental groups; the Investigatory Powers Tribunal held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Wilson v. Commissioner of Police of the Metropolis</w:t>
      </w:r>
      <w:r>
        <w:t xml:space="preserve"> </w:t>
      </w:r>
      <w:r>
        <w:t xml:space="preserve">(2021) that one officer’s deception of an activist into a</w:t>
      </w:r>
      <w:r>
        <w:t xml:space="preserve"> </w:t>
      </w:r>
      <w:r>
        <w:t xml:space="preserve">relationship violated the European Convention on Human Rights, and a public inquiry continues. In the United States,</w:t>
      </w:r>
      <w:r>
        <w:t xml:space="preserve"> </w:t>
      </w:r>
      <w:r>
        <w:t xml:space="preserve">documented government monitoring of Greenpeace consists of FBI files released through FOIA litigation over Joint</w:t>
      </w:r>
      <w:r>
        <w:t xml:space="preserve"> </w:t>
      </w:r>
      <w:r>
        <w:t xml:space="preserve">Terrorism Task Force surveillance of advocacy groups (</w:t>
      </w:r>
      <w:r>
        <w:rPr>
          <w:iCs/>
          <w:i/>
        </w:rPr>
        <w:t xml:space="preserve">ACLU v. FBI</w:t>
      </w:r>
      <w:r>
        <w:t xml:space="preserve">, 429 F. Supp. 2d 179 (D.D.C. 2006)). This analysis</w:t>
      </w:r>
      <w:r>
        <w:t xml:space="preserve"> </w:t>
      </w:r>
      <w:r>
        <w:t xml:space="preserve">found no public source for CIA infiltration of Greenpeace.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present-limits-on-the-agencies"/>
    <w:p>
      <w:pPr>
        <w:pStyle w:val="Heading2"/>
      </w:pPr>
      <w:r>
        <w:t xml:space="preserve">4. Present limits on the agencies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CIA.</w:t>
      </w:r>
      <w:r>
        <w:t xml:space="preserve"> </w:t>
      </w:r>
      <w:r>
        <w:t xml:space="preserve">The CIA has</w:t>
      </w:r>
      <w:r>
        <w:t xml:space="preserve"> </w:t>
      </w:r>
      <w:r>
        <w:t xml:space="preserve">“</w:t>
      </w:r>
      <w:r>
        <w:t xml:space="preserve">no police, subpoena, or law enforcement powers or internal security functions.</w:t>
      </w:r>
      <w:r>
        <w:t xml:space="preserve">”</w:t>
      </w:r>
      <w:r>
        <w:t xml:space="preserve"> </w:t>
      </w:r>
      <w:r>
        <w:t xml:space="preserve">50 U.S.C.</w:t>
      </w:r>
      <w:r>
        <w:t xml:space="preserve"> </w:t>
      </w:r>
      <w:r>
        <w:t xml:space="preserve">§3036(d)(1). Executive Order 12333 limits collection on U.S. persons to procedures approved by the Attorney</w:t>
      </w:r>
      <w:r>
        <w:t xml:space="preserve"> </w:t>
      </w:r>
      <w:r>
        <w:t xml:space="preserve">General (§§2.3, 2.4) and forbids anyone acting on behalf of an intelligence element to join or participate in an</w:t>
      </w:r>
      <w:r>
        <w:t xml:space="preserve"> </w:t>
      </w:r>
      <w:r>
        <w:t xml:space="preserve">organization in the United States without disclosing the affiliation, except under approved procedures (§2.9).</w:t>
      </w:r>
      <w:r>
        <w:t xml:space="preserve"> </w:t>
      </w:r>
      <w:r>
        <w:t xml:space="preserve">Such participation may not be used to influence the organization’s activity or members, except in a lawful FBI</w:t>
      </w:r>
      <w:r>
        <w:t xml:space="preserve"> </w:t>
      </w:r>
      <w:r>
        <w:t xml:space="preserve">investigation or where the organization consists mainly of non-U.S. persons reasonably believed to be acting for</w:t>
      </w:r>
      <w:r>
        <w:t xml:space="preserve"> </w:t>
      </w:r>
      <w:r>
        <w:t xml:space="preserve">a foreign power (§2.9(a)-(b)).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DoD.</w:t>
      </w:r>
      <w:r>
        <w:t xml:space="preserve"> </w:t>
      </w:r>
      <w:r>
        <w:t xml:space="preserve">The Posse Comitatus Act, 18 U.S.C. §1385, and 10 U.S.C. §275 restrict military participation in civilian</w:t>
      </w:r>
      <w:r>
        <w:t xml:space="preserve"> </w:t>
      </w:r>
      <w:r>
        <w:t xml:space="preserve">law enforcement. DoD Manual 5240.01 (2016) governs intelligence collection on U.S. persons and undisclosed</w:t>
      </w:r>
      <w:r>
        <w:t xml:space="preserve"> </w:t>
      </w:r>
      <w:r>
        <w:t xml:space="preserve">participation in organizations; violations are reportable through intelligence oversight channels. AFOSI also</w:t>
      </w:r>
      <w:r>
        <w:t xml:space="preserve"> </w:t>
      </w:r>
      <w:r>
        <w:t xml:space="preserve">has law enforcement and counterintelligence authority over matters connected to the Air Force.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FBI.</w:t>
      </w:r>
      <w:r>
        <w:t xml:space="preserve"> </w:t>
      </w:r>
      <w:r>
        <w:t xml:space="preserve">The Attorney General’s Guidelines for Domestic FBI Operations (2008) and the Domestic Investigations and</w:t>
      </w:r>
      <w:r>
        <w:t xml:space="preserve"> </w:t>
      </w:r>
      <w:r>
        <w:t xml:space="preserve">Operations Guide allow</w:t>
      </w:r>
      <w:r>
        <w:t xml:space="preserve"> </w:t>
      </w:r>
      <w:r>
        <w:t xml:space="preserve">“</w:t>
      </w:r>
      <w:r>
        <w:t xml:space="preserve">assessments</w:t>
      </w:r>
      <w:r>
        <w:t xml:space="preserve">”</w:t>
      </w:r>
      <w:r>
        <w:t xml:space="preserve"> </w:t>
      </w:r>
      <w:r>
        <w:t xml:space="preserve">without a factual predicate, but forbid investigative activity based solely on</w:t>
      </w:r>
      <w:r>
        <w:t xml:space="preserve"> </w:t>
      </w:r>
      <w:r>
        <w:t xml:space="preserve">the exercise of First Amendment rights and regulate undisclosed participation in organizations.</w:t>
      </w:r>
    </w:p>
    <w:p>
      <w:pPr>
        <w:pStyle w:val="FirstParagraph"/>
      </w:pPr>
      <w:r>
        <w:t xml:space="preserve">These rules are internal and do not create private rights of action. They matter because a violation is evidence</w:t>
      </w:r>
      <w:r>
        <w:t xml:space="preserve"> </w:t>
      </w:r>
      <w:r>
        <w:t xml:space="preserve">of bad faith under</w:t>
      </w:r>
      <w:r>
        <w:t xml:space="preserve"> </w:t>
      </w:r>
      <w:r>
        <w:rPr>
          <w:iCs/>
          <w:i/>
        </w:rPr>
        <w:t xml:space="preserve">Mayer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Hobson</w:t>
      </w:r>
      <w:r>
        <w:t xml:space="preserve">, supports an inspector general or oversight complaint, and can defeat a</w:t>
      </w:r>
      <w:r>
        <w:t xml:space="preserve"> </w:t>
      </w:r>
      <w:r>
        <w:t xml:space="preserve">claim that a record is</w:t>
      </w:r>
      <w:r>
        <w:t xml:space="preserve"> </w:t>
      </w:r>
      <w:r>
        <w:t xml:space="preserve">“</w:t>
      </w:r>
      <w:r>
        <w:t xml:space="preserve">pertinent to an authorized law enforcement activity</w:t>
      </w:r>
      <w:r>
        <w:t xml:space="preserve">”</w:t>
      </w:r>
      <w:r>
        <w:t xml:space="preserve"> </w:t>
      </w:r>
      <w:r>
        <w:t xml:space="preserve">under the Privacy Act.</w:t>
      </w:r>
    </w:p>
    <w:p>
      <w:r>
        <w:pict>
          <v:rect style="width:0;height:1.5pt" o:hralign="center" o:hrstd="t" o:hr="t"/>
        </w:pict>
      </w:r>
    </w:p>
    <w:bookmarkEnd w:id="31"/>
    <w:bookmarkStart w:id="36" w:name="remedies"/>
    <w:p>
      <w:pPr>
        <w:pStyle w:val="Heading2"/>
      </w:pPr>
      <w:r>
        <w:t xml:space="preserve">5. Remedies</w:t>
      </w:r>
    </w:p>
    <w:bookmarkStart w:id="32" w:name="privacy-act-552ae7"/>
    <w:p>
      <w:pPr>
        <w:pStyle w:val="Heading3"/>
      </w:pPr>
      <w:r>
        <w:t xml:space="preserve">5.1 Privacy Act §552a(e)(7)</w:t>
      </w:r>
    </w:p>
    <w:p>
      <w:pPr>
        <w:pStyle w:val="FirstParagraph"/>
      </w:pPr>
      <w:r>
        <w:t xml:space="preserve">An agency may</w:t>
      </w:r>
      <w:r>
        <w:t xml:space="preserve"> </w:t>
      </w:r>
      <w:r>
        <w:t xml:space="preserve">“</w:t>
      </w:r>
      <w:r>
        <w:t xml:space="preserve">maintain no record describing how any individual exercises rights guaranteed by the First Amendment</w:t>
      </w:r>
      <w:r>
        <w:t xml:space="preserve"> </w:t>
      </w:r>
      <w:r>
        <w:t xml:space="preserve">unless expressly authorized by statute or by the individual about whom the record is maintained or unless</w:t>
      </w:r>
      <w:r>
        <w:t xml:space="preserve"> </w:t>
      </w:r>
      <w:r>
        <w:t xml:space="preserve">pertinent to and within the scope of an authorized law enforcement activity.</w:t>
      </w:r>
      <w:r>
        <w:t xml:space="preserve">”</w:t>
      </w:r>
      <w:r>
        <w:t xml:space="preserve"> </w:t>
      </w:r>
      <w:r>
        <w:t xml:space="preserve">5 U.S.C. §552a(e)(7). In</w:t>
      </w:r>
      <w:r>
        <w:t xml:space="preserve"> </w:t>
      </w:r>
      <w:r>
        <w:rPr>
          <w:iCs/>
          <w:i/>
        </w:rPr>
        <w:t xml:space="preserve">Garris v.</w:t>
      </w:r>
      <w:r>
        <w:rPr>
          <w:iCs/>
          <w:i/>
        </w:rPr>
        <w:t xml:space="preserve"> </w:t>
      </w:r>
      <w:r>
        <w:rPr>
          <w:iCs/>
          <w:i/>
        </w:rPr>
        <w:t xml:space="preserve">FBI</w:t>
      </w:r>
      <w:r>
        <w:t xml:space="preserve">, 937 F.3d 1284 (9th Cir. 2019), the FBI had written a 2004 threat assessment of Antiwar.com and its editors after</w:t>
      </w:r>
      <w:r>
        <w:t xml:space="preserve"> </w:t>
      </w:r>
      <w:r>
        <w:t xml:space="preserve">the site posted an FBI watch list. The court held that both collection and continued maintenance must be justified,</w:t>
      </w:r>
      <w:r>
        <w:t xml:space="preserve"> </w:t>
      </w:r>
      <w:r>
        <w:t xml:space="preserve">that the agency must show maintenance is pertinent to a specific authorized law enforcement activity, and that the</w:t>
      </w:r>
      <w:r>
        <w:t xml:space="preserve"> </w:t>
      </w:r>
      <w:r>
        <w:t xml:space="preserve">2004 memorandum must be expunged.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1294-1301. An agency declaration in a substantive Privacy Act case gets no</w:t>
      </w:r>
      <w:r>
        <w:t xml:space="preserve"> </w:t>
      </w:r>
      <w:r>
        <w:t xml:space="preserve">FOIA-style presumption, and speculative statements in it are disregarded.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1291-93.</w:t>
      </w:r>
    </w:p>
    <w:p>
      <w:pPr>
        <w:pStyle w:val="BodyText"/>
      </w:pPr>
      <w:r>
        <w:t xml:space="preserve">A UFO researcher or experiencer whose lectures, writings, conference attendance, or group membership appear in an</w:t>
      </w:r>
      <w:r>
        <w:t xml:space="preserve"> </w:t>
      </w:r>
      <w:r>
        <w:t xml:space="preserve">FBI, DoD, or CIA record has a claim to amend or expunge once the record is obtained. Damages require proof of actual</w:t>
      </w:r>
      <w:r>
        <w:t xml:space="preserve"> </w:t>
      </w:r>
      <w:r>
        <w:t xml:space="preserve">pecuniary loss.</w:t>
      </w:r>
      <w:r>
        <w:t xml:space="preserve"> </w:t>
      </w:r>
      <w:r>
        <w:rPr>
          <w:iCs/>
          <w:i/>
        </w:rPr>
        <w:t xml:space="preserve">Doe v. Chao</w:t>
      </w:r>
      <w:r>
        <w:t xml:space="preserve">, 540 U.S. 614 (2004);</w:t>
      </w:r>
      <w:r>
        <w:t xml:space="preserve"> </w:t>
      </w:r>
      <w:r>
        <w:rPr>
          <w:iCs/>
          <w:i/>
        </w:rPr>
        <w:t xml:space="preserve">FAA v. Cooper</w:t>
      </w:r>
      <w:r>
        <w:t xml:space="preserve">, 566 U.S. 284 (2012) (no recovery for mental or</w:t>
      </w:r>
      <w:r>
        <w:t xml:space="preserve"> </w:t>
      </w:r>
      <w:r>
        <w:t xml:space="preserve">emotional distress). The CIA exempts many systems of records under §552a(j)(1). For constitutional expungement</w:t>
      </w:r>
      <w:r>
        <w:t xml:space="preserve"> </w:t>
      </w:r>
      <w:r>
        <w:t xml:space="preserve">claims, the Ninth Circuit requires a concrete injury beyond the record’s existence, such as tangible harm, a material</w:t>
      </w:r>
      <w:r>
        <w:t xml:space="preserve"> </w:t>
      </w:r>
      <w:r>
        <w:t xml:space="preserve">risk of it, or dissemination that harms reputation.</w:t>
      </w:r>
      <w:r>
        <w:t xml:space="preserve"> </w:t>
      </w:r>
      <w:r>
        <w:rPr>
          <w:iCs/>
          <w:i/>
        </w:rPr>
        <w:t xml:space="preserve">Phillips v. U.S. Customs &amp; Border Protection</w:t>
      </w:r>
      <w:r>
        <w:t xml:space="preserve">, 74 F.4th 986,</w:t>
      </w:r>
      <w:r>
        <w:t xml:space="preserve"> </w:t>
      </w:r>
      <w:r>
        <w:t xml:space="preserve">992-94 (9th Cir. 2023). Plead those effects (secondary screening, clearance or employment consequences, sharing with</w:t>
      </w:r>
      <w:r>
        <w:t xml:space="preserve"> </w:t>
      </w:r>
      <w:r>
        <w:t xml:space="preserve">others) alongside the (e)(7) claim.</w:t>
      </w:r>
    </w:p>
    <w:bookmarkEnd w:id="32"/>
    <w:bookmarkStart w:id="33" w:name="constitutional-and-conspiracy-claims"/>
    <w:p>
      <w:pPr>
        <w:pStyle w:val="Heading3"/>
      </w:pPr>
      <w:r>
        <w:t xml:space="preserve">5.2 Constitutional and conspiracy claims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Standing.</w:t>
      </w:r>
      <w:r>
        <w:t xml:space="preserve"> </w:t>
      </w:r>
      <w:r>
        <w:t xml:space="preserve">Chill alone is not enough (</w:t>
      </w:r>
      <w:r>
        <w:rPr>
          <w:iCs/>
          <w:i/>
        </w:rPr>
        <w:t xml:space="preserve">Laird</w:t>
      </w:r>
      <w:r>
        <w:t xml:space="preserve">;</w:t>
      </w:r>
      <w:r>
        <w:t xml:space="preserve"> </w:t>
      </w:r>
      <w:r>
        <w:rPr>
          <w:iCs/>
          <w:i/>
        </w:rPr>
        <w:t xml:space="preserve">Clapper v. Amnesty International USA</w:t>
      </w:r>
      <w:r>
        <w:t xml:space="preserve">, 568 U.S. 398 (2013)).</w:t>
      </w:r>
      <w:r>
        <w:t xml:space="preserve"> </w:t>
      </w:r>
      <w:r>
        <w:t xml:space="preserve">Concrete effects are: members leaving, attendance falling (</w:t>
      </w:r>
      <w:r>
        <w:rPr>
          <w:iCs/>
          <w:i/>
        </w:rPr>
        <w:t xml:space="preserve">Presbyterian Church</w:t>
      </w:r>
      <w:r>
        <w:t xml:space="preserve">), reputational harm from an</w:t>
      </w:r>
      <w:r>
        <w:t xml:space="preserve"> </w:t>
      </w:r>
      <w:r>
        <w:t xml:space="preserve">official label (</w:t>
      </w:r>
      <w:r>
        <w:rPr>
          <w:iCs/>
          <w:i/>
        </w:rPr>
        <w:t xml:space="preserve">Meese v. Keene</w:t>
      </w:r>
      <w:r>
        <w:t xml:space="preserve">, 481 U.S. 465, 473-77 (1987)), or a documented record.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Damages against federal officers.</w:t>
      </w:r>
      <w:r>
        <w:t xml:space="preserve"> </w:t>
      </w:r>
      <w:r>
        <w:rPr>
          <w:iCs/>
          <w:i/>
        </w:rPr>
        <w:t xml:space="preserve">Hobson</w:t>
      </w:r>
      <w:r>
        <w:t xml:space="preserve"> </w:t>
      </w:r>
      <w:r>
        <w:t xml:space="preserve">was a</w:t>
      </w:r>
      <w:r>
        <w:t xml:space="preserve"> </w:t>
      </w:r>
      <w:r>
        <w:rPr>
          <w:iCs/>
          <w:i/>
        </w:rPr>
        <w:t xml:space="preserve">Bivens</w:t>
      </w:r>
      <w:r>
        <w:t xml:space="preserve"> </w:t>
      </w:r>
      <w:r>
        <w:t xml:space="preserve">case. After</w:t>
      </w:r>
      <w:r>
        <w:t xml:space="preserve"> </w:t>
      </w:r>
      <w:r>
        <w:rPr>
          <w:iCs/>
          <w:i/>
        </w:rPr>
        <w:t xml:space="preserve">Egbert v. Boule</w:t>
      </w:r>
      <w:r>
        <w:t xml:space="preserve">, 596 U.S. 482 (2022),</w:t>
      </w:r>
      <w:r>
        <w:t xml:space="preserve"> </w:t>
      </w:r>
      <w:r>
        <w:t xml:space="preserve">which refused a</w:t>
      </w:r>
      <w:r>
        <w:t xml:space="preserve"> </w:t>
      </w:r>
      <w:r>
        <w:rPr>
          <w:iCs/>
          <w:i/>
        </w:rPr>
        <w:t xml:space="preserve">Bivens</w:t>
      </w:r>
      <w:r>
        <w:t xml:space="preserve"> </w:t>
      </w:r>
      <w:r>
        <w:t xml:space="preserve">remedy for First Amendment retaliation, a new damages claim of that kind against federal</w:t>
      </w:r>
      <w:r>
        <w:t xml:space="preserve"> </w:t>
      </w:r>
      <w:r>
        <w:t xml:space="preserve">agents is very unlikely.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Section 1985(3).</w:t>
      </w:r>
      <w:r>
        <w:t xml:space="preserve"> </w:t>
      </w:r>
      <w:r>
        <w:t xml:space="preserve">A conspiracy to deprive a class of equal protection remains actionable against federal</w:t>
      </w:r>
      <w:r>
        <w:t xml:space="preserve"> </w:t>
      </w:r>
      <w:r>
        <w:t xml:space="preserve">officers (</w:t>
      </w:r>
      <w:r>
        <w:rPr>
          <w:iCs/>
          <w:i/>
        </w:rPr>
        <w:t xml:space="preserve">Hobson</w:t>
      </w:r>
      <w:r>
        <w:t xml:space="preserve">;</w:t>
      </w:r>
      <w:r>
        <w:t xml:space="preserve"> </w:t>
      </w:r>
      <w:r>
        <w:rPr>
          <w:iCs/>
          <w:i/>
        </w:rPr>
        <w:t xml:space="preserve">Kenyatta</w:t>
      </w:r>
      <w:r>
        <w:t xml:space="preserve">), but requires class-based animus, and</w:t>
      </w:r>
      <w:r>
        <w:t xml:space="preserve"> </w:t>
      </w:r>
      <w:r>
        <w:rPr>
          <w:iCs/>
          <w:i/>
        </w:rPr>
        <w:t xml:space="preserve">Ziglar v. Abbasi</w:t>
      </w:r>
      <w:r>
        <w:t xml:space="preserve">, 582 U.S. 120 (2017), held</w:t>
      </w:r>
      <w:r>
        <w:t xml:space="preserve"> </w:t>
      </w:r>
      <w:r>
        <w:t xml:space="preserve">that officials of a single agency were entitled to qualified immunity because the application of §1985(3) to them</w:t>
      </w:r>
      <w:r>
        <w:t xml:space="preserve"> </w:t>
      </w:r>
      <w:r>
        <w:t xml:space="preserve">was not clearly established. UFO researchers and experiencers are not a class recognized under the statute;</w:t>
      </w:r>
      <w:r>
        <w:t xml:space="preserve"> </w:t>
      </w:r>
      <w:r>
        <w:t xml:space="preserve">religious groups formed around contact experiences would have a stronger argument.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State and local police.</w:t>
      </w:r>
      <w:r>
        <w:t xml:space="preserve"> </w:t>
      </w:r>
      <w:r>
        <w:t xml:space="preserve">42 U.S.C. §1983 claims against police who infiltrate or disrupt a group, subject to</w:t>
      </w:r>
      <w:r>
        <w:t xml:space="preserve"> </w:t>
      </w:r>
      <w:r>
        <w:t xml:space="preserve">qualified immunity and</w:t>
      </w:r>
      <w:r>
        <w:t xml:space="preserve"> </w:t>
      </w:r>
      <w:r>
        <w:rPr>
          <w:iCs/>
          <w:i/>
        </w:rPr>
        <w:t xml:space="preserve">Monell</w:t>
      </w:r>
      <w:r>
        <w:t xml:space="preserve">. In California,</w:t>
      </w:r>
      <w:r>
        <w:t xml:space="preserve"> </w:t>
      </w:r>
      <w:r>
        <w:rPr>
          <w:iCs/>
          <w:i/>
        </w:rPr>
        <w:t xml:space="preserve">White v. Davis</w:t>
      </w:r>
      <w:r>
        <w:t xml:space="preserve"> </w:t>
      </w:r>
      <w:r>
        <w:t xml:space="preserve">and §526a provide a broader route.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Membership privacy.</w:t>
      </w:r>
      <w:r>
        <w:t xml:space="preserve"> </w:t>
      </w:r>
      <w:r>
        <w:t xml:space="preserve">Groups can resist compelled disclosure of member lists.</w:t>
      </w:r>
      <w:r>
        <w:t xml:space="preserve"> </w:t>
      </w:r>
      <w:r>
        <w:rPr>
          <w:iCs/>
          <w:i/>
        </w:rPr>
        <w:t xml:space="preserve">NAACP v. Alabama ex rel.</w:t>
      </w:r>
      <w:r>
        <w:rPr>
          <w:iCs/>
          <w:i/>
        </w:rPr>
        <w:t xml:space="preserve"> </w:t>
      </w:r>
      <w:r>
        <w:rPr>
          <w:iCs/>
          <w:i/>
        </w:rPr>
        <w:t xml:space="preserve">Patterson</w:t>
      </w:r>
      <w:r>
        <w:t xml:space="preserve">, 357 U.S. 449 (1958);</w:t>
      </w:r>
      <w:r>
        <w:t xml:space="preserve"> </w:t>
      </w:r>
      <w:r>
        <w:rPr>
          <w:iCs/>
          <w:i/>
        </w:rPr>
        <w:t xml:space="preserve">Americans for Prosperity Foundation v. Bonta</w:t>
      </w:r>
      <w:r>
        <w:t xml:space="preserve">, 594 U.S. 595 (2021).</w:t>
      </w:r>
    </w:p>
    <w:bookmarkEnd w:id="33"/>
    <w:bookmarkStart w:id="34" w:name="discrediting-campaigns"/>
    <w:p>
      <w:pPr>
        <w:pStyle w:val="Heading3"/>
      </w:pPr>
      <w:r>
        <w:t xml:space="preserve">5.3 Discrediting campaigns</w:t>
      </w:r>
    </w:p>
    <w:p>
      <w:pPr>
        <w:pStyle w:val="FirstParagraph"/>
      </w:pPr>
      <w:r>
        <w:t xml:space="preserve">Public statements by officials that ridicule or discredit a person are government speech (</w:t>
      </w:r>
      <w:hyperlink r:id="rId22">
        <w:r>
          <w:rPr>
            <w:rStyle w:val="Hyperlink"/>
          </w:rPr>
          <w:t xml:space="preserve">Issue F4</w:t>
        </w:r>
      </w:hyperlink>
      <w:r>
        <w:t xml:space="preserve"> </w:t>
      </w:r>
      <w:r>
        <w:t xml:space="preserve">§1). Injury to</w:t>
      </w:r>
      <w:r>
        <w:t xml:space="preserve"> </w:t>
      </w:r>
      <w:r>
        <w:t xml:space="preserve">reputation alone is not a deprivation of liberty or property.</w:t>
      </w:r>
      <w:r>
        <w:t xml:space="preserve"> </w:t>
      </w:r>
      <w:r>
        <w:rPr>
          <w:iCs/>
          <w:i/>
        </w:rPr>
        <w:t xml:space="preserve">Paul v. Davis</w:t>
      </w:r>
      <w:r>
        <w:t xml:space="preserve">, 424 U.S. 693 (1976). The FTCA excludes</w:t>
      </w:r>
      <w:r>
        <w:t xml:space="preserve"> </w:t>
      </w:r>
      <w:r>
        <w:t xml:space="preserve">claims arising out of libel, slander, misrepresentation, deceit, and interference with contract rights, 28 U.S.C.</w:t>
      </w:r>
      <w:r>
        <w:t xml:space="preserve"> </w:t>
      </w:r>
      <w:r>
        <w:t xml:space="preserve">§2680(h). A claim for intentional infliction of emotional distress that does not depend on the falsity of a</w:t>
      </w:r>
      <w:r>
        <w:t xml:space="preserve"> </w:t>
      </w:r>
      <w:r>
        <w:t xml:space="preserve">statement, for example a campaign of deliberate harassment by agents who were law enforcement officers, has a</w:t>
      </w:r>
      <w:r>
        <w:t xml:space="preserve"> </w:t>
      </w:r>
      <w:r>
        <w:t xml:space="preserve">better chance of avoiding the exclusion. The practical remedies are records correction under the Privacy Act,</w:t>
      </w:r>
      <w:r>
        <w:t xml:space="preserve"> </w:t>
      </w:r>
      <w:r>
        <w:t xml:space="preserve">inspector general complaints, requests to the agency to correct its statements, and congressional referral.</w:t>
      </w:r>
    </w:p>
    <w:bookmarkEnd w:id="34"/>
    <w:bookmarkStart w:id="35" w:name="contractors-and-private-investigators"/>
    <w:p>
      <w:pPr>
        <w:pStyle w:val="Heading3"/>
      </w:pPr>
      <w:r>
        <w:t xml:space="preserve">5.4 Contractors and private investigators</w:t>
      </w:r>
    </w:p>
    <w:p>
      <w:pPr>
        <w:pStyle w:val="FirstParagraph"/>
      </w:pPr>
      <w:r>
        <w:t xml:space="preserve">Private investigators and contractors who trespass, intercept communications, or pose as members to obtain</w:t>
      </w:r>
      <w:r>
        <w:t xml:space="preserve"> </w:t>
      </w:r>
      <w:r>
        <w:t xml:space="preserve">confidential material face state privacy torts (intrusion upon seclusion), trespass, and wiretap statutes (18</w:t>
      </w:r>
      <w:r>
        <w:t xml:space="preserve"> </w:t>
      </w:r>
      <w:r>
        <w:t xml:space="preserve">U.S.C. §2511; Cal. Penal Code §632), and the Computer Fraud and Abuse Act, 18 U.S.C. §1030, where systems are</w:t>
      </w:r>
      <w:r>
        <w:t xml:space="preserve"> </w:t>
      </w:r>
      <w:r>
        <w:t xml:space="preserve">accessed without authorization.</w:t>
      </w:r>
      <w:r>
        <w:t xml:space="preserve"> </w:t>
      </w:r>
      <w:r>
        <w:rPr>
          <w:iCs/>
          <w:i/>
        </w:rPr>
        <w:t xml:space="preserve">Greenpeace v. Dow</w:t>
      </w:r>
      <w:r>
        <w:t xml:space="preserve"> </w:t>
      </w:r>
      <w:r>
        <w:t xml:space="preserve">shows the limit for discarded material.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1" w:name="Xdc844b70dbd36037d48434cac736c4c33c44d4d"/>
    <w:p>
      <w:pPr>
        <w:pStyle w:val="Heading2"/>
      </w:pPr>
      <w:r>
        <w:t xml:space="preserve">6. Practical steps for groups and individuals</w:t>
      </w:r>
    </w:p>
    <w:p>
      <w:pPr>
        <w:pStyle w:val="Compact"/>
        <w:numPr>
          <w:ilvl w:val="0"/>
          <w:numId w:val="1007"/>
        </w:numPr>
      </w:pPr>
      <w:r>
        <w:t xml:space="preserve">Request your own records under the Privacy Act and FOIA from the FBI, CIA, DIA, NSA, the Air Force (including</w:t>
      </w:r>
      <w:r>
        <w:t xml:space="preserve"> </w:t>
      </w:r>
      <w:r>
        <w:t xml:space="preserve">AFOSI), and AARO (</w:t>
      </w:r>
      <w:hyperlink r:id="rId37">
        <w:r>
          <w:rPr>
            <w:rStyle w:val="Hyperlink"/>
          </w:rPr>
          <w:t xml:space="preserve">Form B1-1</w:t>
        </w:r>
      </w:hyperlink>
      <w:r>
        <w:t xml:space="preserve">). Request the FBI files of deceased figures under FOIA.</w:t>
      </w:r>
    </w:p>
    <w:p>
      <w:pPr>
        <w:pStyle w:val="Compact"/>
        <w:numPr>
          <w:ilvl w:val="0"/>
          <w:numId w:val="1007"/>
        </w:numPr>
      </w:pPr>
      <w:r>
        <w:t xml:space="preserve">If a record describes First Amendment activity, ask the agency in writing to amend or expunge it under</w:t>
      </w:r>
      <w:r>
        <w:t xml:space="preserve"> </w:t>
      </w:r>
      <w:r>
        <w:t xml:space="preserve">§552a(d)(2) and (e)(7) (</w:t>
      </w:r>
      <w:hyperlink r:id="rId38">
        <w:r>
          <w:rPr>
            <w:rStyle w:val="Hyperlink"/>
          </w:rPr>
          <w:t xml:space="preserve">Form H3-1</w:t>
        </w:r>
      </w:hyperlink>
      <w:r>
        <w:t xml:space="preserve">), then sue if refused.</w:t>
      </w:r>
    </w:p>
    <w:p>
      <w:pPr>
        <w:pStyle w:val="Compact"/>
        <w:numPr>
          <w:ilvl w:val="0"/>
          <w:numId w:val="1007"/>
        </w:numPr>
      </w:pPr>
      <w:r>
        <w:t xml:space="preserve">For groups: keep membership lists private, do not publish attendance lists, and decide in advance how the group</w:t>
      </w:r>
      <w:r>
        <w:t xml:space="preserve"> </w:t>
      </w:r>
      <w:r>
        <w:t xml:space="preserve">will respond to a member who appears to be an informant (document, do not confront).</w:t>
      </w:r>
    </w:p>
    <w:p>
      <w:pPr>
        <w:pStyle w:val="Compact"/>
        <w:numPr>
          <w:ilvl w:val="0"/>
          <w:numId w:val="1007"/>
        </w:numPr>
      </w:pPr>
      <w:r>
        <w:t xml:space="preserve">Keep dated records of unusual events: contacts by officials, approaches by new members asking for lists or</w:t>
      </w:r>
      <w:r>
        <w:t xml:space="preserve"> </w:t>
      </w:r>
      <w:r>
        <w:t xml:space="preserve">confidential plans, false documents received, and changes in attendance.</w:t>
      </w:r>
    </w:p>
    <w:p>
      <w:pPr>
        <w:pStyle w:val="Compact"/>
        <w:numPr>
          <w:ilvl w:val="0"/>
          <w:numId w:val="1007"/>
        </w:numPr>
      </w:pPr>
      <w:r>
        <w:t xml:space="preserve">Use inspector general and intelligence oversight channels for suspected violations of EO 12333 §2.9 or DoDM</w:t>
      </w:r>
      <w:r>
        <w:t xml:space="preserve"> </w:t>
      </w:r>
      <w:r>
        <w:t xml:space="preserve">5240.01, and give the same information to the intelligence committees (</w:t>
      </w:r>
      <w:hyperlink r:id="rId39">
        <w:r>
          <w:rPr>
            <w:rStyle w:val="Hyperlink"/>
          </w:rPr>
          <w:t xml:space="preserve">Issue D1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t xml:space="preserve">Insiders with knowledge of such programs can use the whistleblower channels in</w:t>
      </w:r>
      <w:r>
        <w:t xml:space="preserve"> </w:t>
      </w:r>
      <w:hyperlink r:id="rId40">
        <w:r>
          <w:rPr>
            <w:rStyle w:val="Hyperlink"/>
          </w:rPr>
          <w:t xml:space="preserve">Issue C1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41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Government Surveillance and Disruption of UFO Groups, Researchers, and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7" Type="http://schemas.openxmlformats.org/officeDocument/2006/relationships/hyperlink" Target="https://nhilaw.com/forms/b1-1.html" TargetMode="External"/><Relationship Id="rId38" Type="http://schemas.openxmlformats.org/officeDocument/2006/relationships/hyperlink" Target="https://nhilaw.com/forms/h3-1.html" TargetMode="External"/><Relationship Id="rId40" Type="http://schemas.openxmlformats.org/officeDocument/2006/relationships/hyperlink" Target="https://nhilaw.com/issues/c1.html" TargetMode="External"/><Relationship Id="rId39" Type="http://schemas.openxmlformats.org/officeDocument/2006/relationships/hyperlink" Target="https://nhilaw.com/issues/d1.html" TargetMode="External"/><Relationship Id="rId22" Type="http://schemas.openxmlformats.org/officeDocument/2006/relationships/hyperlink" Target="https://nhilaw.com/issues/f4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7" Type="http://schemas.openxmlformats.org/officeDocument/2006/relationships/hyperlink" Target="https://nhilaw.com/forms/b1-1.html" TargetMode="External"/><Relationship Id="rId38" Type="http://schemas.openxmlformats.org/officeDocument/2006/relationships/hyperlink" Target="https://nhilaw.com/forms/h3-1.html" TargetMode="External"/><Relationship Id="rId40" Type="http://schemas.openxmlformats.org/officeDocument/2006/relationships/hyperlink" Target="https://nhilaw.com/issues/c1.html" TargetMode="External"/><Relationship Id="rId39" Type="http://schemas.openxmlformats.org/officeDocument/2006/relationships/hyperlink" Target="https://nhilaw.com/issues/d1.html" TargetMode="External"/><Relationship Id="rId22" Type="http://schemas.openxmlformats.org/officeDocument/2006/relationships/hyperlink" Target="https://nhilaw.com/issues/f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Surveillance and Disruption of UFO Groups, Researchers, and Experiencers</dc:title>
  <dc:creator>nhilaw.com</dc:creator>
  <cp:keywords/>
  <dcterms:created xsi:type="dcterms:W3CDTF">2026-10-19T13:54:12Z</dcterms:created>
  <dcterms:modified xsi:type="dcterms:W3CDTF">2026-10-19T13:54:12Z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nhilaw.com/issues/h3.html</vt:lpwstr>
  </property>
</Properties>
</file>