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2" w:name="X74a44fca11c918082becb42a48e82a3f822e7f4"/>
    <w:p>
      <w:pPr>
        <w:pStyle w:val="Heading1"/>
      </w:pPr>
      <w:r>
        <w:t xml:space="preserve">Form H4-1. Motion in Limine to Exclude Evidence and Argument That a Witness’s or Party’s UAP Experience Shows Mental Illness</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https://nhilaw.com/forms/h4-1.html</w:t>
      </w:r>
    </w:p>
    <w:p>
      <w:pPr>
        <w:pStyle w:val="BodyText"/>
        <w:spacing w:after="160" w:line="259" w:lineRule="auto"/>
      </w:pPr>
      <w:r>
        <w:rPr>
          <w:bCs/>
          <w:b/>
        </w:rPr>
        <w:t xml:space="preserve">Use.</w:t>
      </w:r>
      <w:r>
        <w:t xml:space="preserve"> </w:t>
      </w:r>
      <w:r>
        <w:t xml:space="preserve">The opposing party has indicated (by witness list, deposition questioning, an expert report, or argument)</w:t>
      </w:r>
      <w:r>
        <w:t xml:space="preserve"> </w:t>
      </w:r>
      <w:r>
        <w:t xml:space="preserve">that it will use a witness’s or party’s report of a UFO or UAP sighting, contact, or abduction, or belief in</w:t>
      </w:r>
      <w:r>
        <w:t xml:space="preserve"> </w:t>
      </w:r>
      <w:r>
        <w:t xml:space="preserve">non-human intelligence, to suggest that the person is mentally ill, delusional, or unreliable. The motion asks the</w:t>
      </w:r>
      <w:r>
        <w:t xml:space="preserve"> </w:t>
      </w:r>
      <w:r>
        <w:t xml:space="preserve">court to require an evidentiary foundation before any such evidence or argument is presented, and to bar ridicule. It</w:t>
      </w:r>
      <w:r>
        <w:t xml:space="preserve"> </w:t>
      </w:r>
      <w:r>
        <w:t xml:space="preserve">does not ask the court to find that the experience was what the person believes it was.</w:t>
      </w:r>
    </w:p>
    <w:p>
      <w:pPr>
        <w:pStyle w:val="BodyText"/>
        <w:spacing w:after="160" w:line="259" w:lineRule="auto"/>
      </w:pPr>
      <w:r>
        <w:rPr>
          <w:bCs/>
          <w:b/>
        </w:rPr>
        <w:t xml:space="preserve">When to use.</w:t>
      </w:r>
      <w:r>
        <w:t xml:space="preserve"> </w:t>
      </w:r>
      <w:r>
        <w:t xml:space="preserve">Criminal trials (for a complaining witness, defense witness, or defendant who testifies), civil</w:t>
      </w:r>
      <w:r>
        <w:t xml:space="preserve"> </w:t>
      </w:r>
      <w:r>
        <w:t xml:space="preserve">trials, and family-court hearings.</w:t>
      </w:r>
      <w:r>
        <w:t xml:space="preserve"> </w:t>
      </w:r>
      <w:r>
        <w:rPr>
          <w:bCs/>
          <w:b/>
        </w:rPr>
        <w:t xml:space="preserve">Not for:</w:t>
      </w:r>
      <w:r>
        <w:t xml:space="preserve"> </w:t>
      </w:r>
      <w:r>
        <w:t xml:space="preserve">Competency or commitment proceedings, where the experience will be</w:t>
      </w:r>
      <w:r>
        <w:t xml:space="preserve"> </w:t>
      </w:r>
      <w:r>
        <w:t xml:space="preserve">part of the evaluation; use</w:t>
      </w:r>
      <w:r>
        <w:t xml:space="preserve"> </w:t>
      </w:r>
      <w:hyperlink r:id="rId20">
        <w:r>
          <w:rPr>
            <w:rStyle w:val="Hyperlink"/>
          </w:rPr>
          <w:t xml:space="preserve">Form H4-2</w:t>
        </w:r>
      </w:hyperlink>
      <w:r>
        <w:t xml:space="preserve"> </w:t>
      </w:r>
      <w:r>
        <w:t xml:space="preserve">to address the evaluator.</w:t>
      </w:r>
    </w:p>
    <w:p>
      <w:pPr>
        <w:pStyle w:val="BodyText"/>
        <w:spacing w:after="160" w:line="259" w:lineRule="auto"/>
      </w:pPr>
      <w:r>
        <w:rPr>
          <w:bCs/>
          <w:b/>
        </w:rPr>
        <w:t xml:space="preserve">Deadlines.</w:t>
      </w:r>
      <w:r>
        <w:t xml:space="preserve"> </w:t>
      </w:r>
      <w:r>
        <w:t xml:space="preserve">Under the court’s pretrial order or local rule for motions in limine.</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spacing w:lineRule="exact" w:line="240" w:before="0" w:after="0"/>
        <w:jc w:val="center"/>
      </w:pPr>
      <w:r>
        <w:rPr>
          <w:rFonts w:ascii="Times New Roman" w:hAnsi="Times New Roman" w:cs="Times New Roman" w:eastAsia="Times New Roman"/>
          <w:b/>
          <w:sz w:val="24"/>
        </w:rPr>
        <w:t>[COURT]</w:t>
      </w:r>
    </w:p>
    <w:p>
      <w:pPr>
        <w:spacing w:lineRule="exact" w:line="240" w:before="0" w:after="0"/>
        <w:jc w:val="center"/>
      </w:pPr>
      <w:r>
        <w:rPr>
          <w:rFonts w:ascii="Times New Roman" w:hAnsi="Times New Roman" w:cs="Times New Roman" w:eastAsia="Times New Roman"/>
          <w:b/>
          <w:sz w:val="24"/>
        </w:rPr>
        <w:t>[COUNTY / DISTRICT]</w:t>
      </w:r>
    </w:p>
    <w:p>
      <w:pPr>
        <w:spacing w:lineRule="exact" w:line="240" w:before="0" w:after="0"/>
      </w:pPr>
    </w:p>
    <w:tbl>
      <w:tblPr>
        <w:tblW w:type="auto" w:w="0"/>
        <w:jc w:val="left"/>
        <w:tblLayout w:type="fixed"/>
        <w:tblLook w:firstColumn="1" w:firstRow="1" w:lastColumn="0" w:lastRow="0" w:noHBand="0" w:noVBand="1" w:val="04A0"/>
      </w:tblPr>
      <w:tblGrid>
        <w:gridCol w:w="4680"/>
        <w:gridCol w:w="4680"/>
      </w:tblGrid>
      <w:tr>
        <w:tc>
          <w:tcPr>
            <w:tcW w:type="dxa" w:w="4824"/>
            <w:tcBorders>
              <w:right w:val="single" w:sz="4" w:color="000000"/>
              <w:bottom w:val="single" w:sz="4" w:color="000000"/>
            </w:tcBorders>
            <w:tcMar>
              <w:top w:w="0" w:type="dxa"/>
              <w:bottom w:w="0" w:type="dxa"/>
              <w:left w:w="0" w:type="dxa"/>
              <w:right w:w="100" w:type="dxa"/>
            </w:tcMar>
          </w:tcPr>
          <w:p>
            <w:pPr>
              <w:spacing w:lineRule="exact" w:line="240" w:before="0" w:after="0"/>
            </w:pPr>
            <w:r>
              <w:rPr>
                <w:rFonts w:ascii="Times New Roman" w:hAnsi="Times New Roman" w:cs="Times New Roman" w:eastAsia="Times New Roman"/>
                <w:b w:val="0"/>
                <w:sz w:val="24"/>
              </w:rPr>
              <w:t>[CAPTION]</w:t>
            </w: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tc>
        <w:tc>
          <w:tcPr>
            <w:tcW w:type="dxa" w:w="4392"/>
            <w:tcMar>
              <w:top w:w="0" w:type="dxa"/>
              <w:bottom w:w="0" w:type="dxa"/>
              <w:left w:w="160" w:type="dxa"/>
              <w:right w:w="100" w:type="dxa"/>
            </w:tcMar>
          </w:tcPr>
          <w:p>
            <w:pPr>
              <w:spacing w:lineRule="exact" w:line="240" w:before="0" w:after="0"/>
            </w:pPr>
            <w:r>
              <w:rPr>
                <w:rFonts w:ascii="Times New Roman" w:hAnsi="Times New Roman" w:cs="Times New Roman" w:eastAsia="Times New Roman"/>
                <w:b w:val="0"/>
                <w:sz w:val="24"/>
              </w:rPr>
              <w:t>Case No. [__________]</w:t>
            </w:r>
          </w:p>
          <w:p>
            <w:pPr>
              <w:spacing w:lineRule="exact" w:line="240" w:before="0" w:after="0"/>
            </w:pPr>
          </w:p>
          <w:p>
            <w:pPr>
              <w:spacing w:lineRule="exact" w:line="240" w:before="0" w:after="0"/>
            </w:pPr>
            <w:r>
              <w:rPr>
                <w:rFonts w:ascii="Times New Roman" w:hAnsi="Times New Roman" w:cs="Times New Roman" w:eastAsia="Times New Roman"/>
                <w:b/>
                <w:sz w:val="24"/>
              </w:rPr>
              <w:t>[PARTY]'S MOTION IN</w:t>
            </w:r>
          </w:p>
          <w:p>
            <w:pPr>
              <w:spacing w:lineRule="exact" w:line="240" w:before="0" w:after="0"/>
            </w:pPr>
            <w:r>
              <w:rPr>
                <w:rFonts w:ascii="Times New Roman" w:hAnsi="Times New Roman" w:cs="Times New Roman" w:eastAsia="Times New Roman"/>
                <w:b/>
                <w:sz w:val="24"/>
              </w:rPr>
              <w:t>LIMINE TO EXCLUDE</w:t>
            </w:r>
          </w:p>
          <w:p>
            <w:pPr>
              <w:spacing w:lineRule="exact" w:line="240" w:before="0" w:after="0"/>
            </w:pPr>
            <w:r>
              <w:rPr>
                <w:rFonts w:ascii="Times New Roman" w:hAnsi="Times New Roman" w:cs="Times New Roman" w:eastAsia="Times New Roman"/>
                <w:b/>
                <w:sz w:val="24"/>
              </w:rPr>
              <w:t>EVIDENCE AND ARGUMENT</w:t>
            </w:r>
          </w:p>
          <w:p>
            <w:pPr>
              <w:spacing w:lineRule="exact" w:line="240" w:before="0" w:after="0"/>
            </w:pPr>
            <w:r>
              <w:rPr>
                <w:rFonts w:ascii="Times New Roman" w:hAnsi="Times New Roman" w:cs="Times New Roman" w:eastAsia="Times New Roman"/>
                <w:b/>
                <w:sz w:val="24"/>
              </w:rPr>
              <w:t>THAT [WITNESS]'S</w:t>
            </w:r>
          </w:p>
          <w:p>
            <w:pPr>
              <w:spacing w:lineRule="exact" w:line="240" w:before="0" w:after="0"/>
            </w:pPr>
            <w:r>
              <w:rPr>
                <w:rFonts w:ascii="Times New Roman" w:hAnsi="Times New Roman" w:cs="Times New Roman" w:eastAsia="Times New Roman"/>
                <w:b/>
                <w:sz w:val="24"/>
              </w:rPr>
              <w:t>REPORT OF AN</w:t>
            </w:r>
          </w:p>
          <w:p>
            <w:pPr>
              <w:spacing w:lineRule="exact" w:line="240" w:before="0" w:after="0"/>
            </w:pPr>
            <w:r>
              <w:rPr>
                <w:rFonts w:ascii="Times New Roman" w:hAnsi="Times New Roman" w:cs="Times New Roman" w:eastAsia="Times New Roman"/>
                <w:b/>
                <w:sz w:val="24"/>
              </w:rPr>
              <w:t>UNIDENTIFIED ANOMALOUS</w:t>
            </w:r>
          </w:p>
          <w:p>
            <w:pPr>
              <w:spacing w:lineRule="exact" w:line="240" w:before="0" w:after="0"/>
            </w:pPr>
            <w:r>
              <w:rPr>
                <w:rFonts w:ascii="Times New Roman" w:hAnsi="Times New Roman" w:cs="Times New Roman" w:eastAsia="Times New Roman"/>
                <w:b/>
                <w:sz w:val="24"/>
              </w:rPr>
              <w:t>PHENOMENON SHOWS</w:t>
            </w:r>
          </w:p>
          <w:p>
            <w:pPr>
              <w:spacing w:lineRule="exact" w:line="240" w:before="0" w:after="0"/>
            </w:pPr>
            <w:r>
              <w:rPr>
                <w:rFonts w:ascii="Times New Roman" w:hAnsi="Times New Roman" w:cs="Times New Roman" w:eastAsia="Times New Roman"/>
                <w:b/>
                <w:sz w:val="24"/>
              </w:rPr>
              <w:t>MENTAL ILLNESS OR</w:t>
            </w:r>
          </w:p>
          <w:p>
            <w:pPr>
              <w:spacing w:lineRule="exact" w:line="240" w:before="0" w:after="0"/>
            </w:pPr>
            <w:r>
              <w:rPr>
                <w:rFonts w:ascii="Times New Roman" w:hAnsi="Times New Roman" w:cs="Times New Roman" w:eastAsia="Times New Roman"/>
                <w:b/>
                <w:sz w:val="24"/>
              </w:rPr>
              <w:t>UNRELIABILITY</w:t>
            </w:r>
          </w:p>
          <w:p>
            <w:pPr>
              <w:spacing w:lineRule="exact" w:line="240" w:before="0" w:after="0"/>
            </w:pPr>
          </w:p>
          <w:p>
            <w:pPr>
              <w:spacing w:lineRule="exact" w:line="240" w:before="0" w:after="0"/>
            </w:pPr>
          </w:p>
        </w:tc>
      </w:tr>
    </w:tbl>
    <w:p>
      <w:pPr>
        <w:spacing w:lineRule="exact" w:line="240" w:before="0" w:after="0"/>
      </w:pPr>
    </w:p>
    <w:p>
      <w:pPr>
        <w:spacing w:lineRule="exact" w:line="240" w:before="0" w:after="0"/>
      </w:pPr>
    </w:p>
    <w:p>
      <w:pPr>
        <w:pStyle w:val="BodyText"/>
        <w:spacing w:lineRule="exact" w:line="480" w:before="0" w:after="0"/>
      </w:pPr>
      <w:r>
        <w:t xml:space="preserve">[Party] moves in limine for an order (1) barring any party from offering evidence, questioning a witness, or making</w:t>
      </w:r>
      <w:r>
        <w:t xml:space="preserve"> </w:t>
      </w:r>
      <w:r>
        <w:t xml:space="preserve">argument that [Witness]’s report of [describe briefly: a sighting of an unidentified object on (date) / an experience</w:t>
      </w:r>
      <w:r>
        <w:t xml:space="preserve"> </w:t>
      </w:r>
      <w:r>
        <w:t xml:space="preserve">of being taken from (place)] or [Witness]’s beliefs about unidentified anomalous phenomena (UAP) or non-human</w:t>
      </w:r>
      <w:r>
        <w:t xml:space="preserve"> </w:t>
      </w:r>
      <w:r>
        <w:t xml:space="preserve">intelligence show mental illness, delusion, or unreliability, unless that party first makes an offer of proof outside</w:t>
      </w:r>
      <w:r>
        <w:t xml:space="preserve"> </w:t>
      </w:r>
      <w:r>
        <w:t xml:space="preserve">the jury’s presence, through a qualified expert, that the experience or belief is a symptom of a mental disorder that</w:t>
      </w:r>
      <w:r>
        <w:t xml:space="preserve"> </w:t>
      </w:r>
      <w:r>
        <w:t xml:space="preserve">impairs [Witness]’s ability to perceive, remember, or relate events truthfully; and (2) barring argument that ridicules</w:t>
      </w:r>
      <w:r>
        <w:t xml:space="preserve"> </w:t>
      </w:r>
      <w:r>
        <w:t xml:space="preserve">the experience or invites the jury to discount [Witness]’s testimony because of its subject.</w:t>
      </w:r>
    </w:p>
    <w:p>
      <w:pPr>
        <w:pStyle w:val="BodyText"/>
        <w:keepNext/>
        <w:spacing w:lineRule="exact" w:line="480" w:before="0" w:after="0"/>
        <w:jc w:val="center"/>
      </w:pPr>
      <w:r>
        <w:rPr>
          <w:bCs/>
          <w:b/>
        </w:rPr>
        <w:t xml:space="preserve">MEMORANDUM OF POINTS AND AUTHORITIES</w:t>
      </w:r>
    </w:p>
    <w:p>
      <w:pPr>
        <w:pStyle w:val="BodyText"/>
        <w:spacing w:lineRule="exact" w:line="480" w:before="0" w:after="0"/>
      </w:pPr>
      <w:r>
        <w:rPr>
          <w:bCs/>
          <w:b/>
        </w:rPr>
        <w:t xml:space="preserve">I. Background</w:t>
      </w:r>
    </w:p>
    <w:p>
      <w:pPr>
        <w:pStyle w:val="BodyText"/>
        <w:spacing w:lineRule="exact" w:line="480" w:before="0" w:after="0"/>
      </w:pPr>
      <w:r>
        <w:t xml:space="preserve">[Witness] is expected to testify about [the events at issue]. [Describe the experience and how it came up, e.g.,</w:t>
      </w:r>
      <w:r>
        <w:t xml:space="preserve"> </w:t>
      </w:r>
      <w:r>
        <w:t xml:space="preserve">“</w:t>
      </w:r>
      <w:r>
        <w:t xml:space="preserve">At</w:t>
      </w:r>
      <w:r>
        <w:t xml:space="preserve"> </w:t>
      </w:r>
      <w:r>
        <w:t xml:space="preserve">deposition, (Witness) was asked about and described an observation of an object over (place) in (year). (Opposing</w:t>
      </w:r>
      <w:r>
        <w:t xml:space="preserve"> </w:t>
      </w:r>
      <w:r>
        <w:t xml:space="preserve">party)</w:t>
      </w:r>
      <w:r>
        <w:t xml:space="preserve">‘</w:t>
      </w:r>
      <w:r>
        <w:t xml:space="preserve">s counsel asked whether (Witness) ’believes in aliens</w:t>
      </w:r>
      <w:r>
        <w:t xml:space="preserve">’</w:t>
      </w:r>
      <w:r>
        <w:t xml:space="preserve"> </w:t>
      </w:r>
      <w:r>
        <w:t xml:space="preserve">and has listed a psychologist who has not examined</w:t>
      </w:r>
      <w:r>
        <w:t xml:space="preserve"> </w:t>
      </w:r>
      <w:r>
        <w:t xml:space="preserve">(Witness).</w:t>
      </w:r>
      <w:r>
        <w:t xml:space="preserve">”</w:t>
      </w:r>
      <w:r>
        <w:t xml:space="preserve">]</w:t>
      </w:r>
      <w:r>
        <w:br/>
      </w:r>
      <w:r>
        <w:t xml:space="preserve">[Witness] has no diagnosis of a psychotic disorder [or: describe the history accurately], works as [___], and</w:t>
      </w:r>
      <w:r>
        <w:t xml:space="preserve"> </w:t>
      </w:r>
      <w:r>
        <w:t xml:space="preserve">[describe ordinary functioning].</w:t>
      </w:r>
    </w:p>
    <w:p>
      <w:pPr>
        <w:pStyle w:val="BodyText"/>
        <w:spacing w:lineRule="exact" w:line="480" w:before="0" w:after="0"/>
        <w:ind w:firstLine="720"/>
      </w:pPr>
      <w:r>
        <w:rPr>
          <w:bCs/>
          <w:b/>
        </w:rPr>
        <w:t xml:space="preserve">II. Evidence of mental condition requires a foundation connecting the condition to the witness’s capacity to</w:t>
      </w:r>
      <w:r>
        <w:rPr>
          <w:bCs/>
          <w:b/>
        </w:rPr>
        <w:t xml:space="preserve"> </w:t>
      </w:r>
      <w:r>
        <w:rPr>
          <w:bCs/>
          <w:b/>
        </w:rPr>
        <w:t xml:space="preserve">testify truthfully.</w:t>
      </w:r>
    </w:p>
    <w:p>
      <w:pPr>
        <w:pStyle w:val="BodyText"/>
        <w:spacing w:lineRule="exact" w:line="480" w:before="0" w:after="0"/>
        <w:ind w:firstLine="720"/>
      </w:pPr>
      <w:r>
        <w:t xml:space="preserve">A witness’s mental condition is a proper subject of impeachment only where there is evidence that the condition</w:t>
      </w:r>
      <w:r>
        <w:t xml:space="preserve"> </w:t>
      </w:r>
      <w:r>
        <w:t xml:space="preserve">affects the witness’s ability to perceive, recall, or relate the truth. In</w:t>
      </w:r>
      <w:r>
        <w:t xml:space="preserve"> </w:t>
      </w:r>
      <w:r>
        <w:rPr>
          <w:iCs/>
          <w:i/>
        </w:rPr>
        <w:t xml:space="preserve">State v. Fichera</w:t>
      </w:r>
      <w:r>
        <w:t xml:space="preserve">, 153 N.H. 588, 903 A.2d</w:t>
      </w:r>
      <w:r>
        <w:t xml:space="preserve"> </w:t>
      </w:r>
      <w:r>
        <w:t xml:space="preserve">1030 (2006), the defense sought to cross-examine an attempted-murder victim about her</w:t>
      </w:r>
      <w:r>
        <w:t xml:space="preserve"> </w:t>
      </w:r>
      <w:r>
        <w:t xml:space="preserve">“</w:t>
      </w:r>
      <w:r>
        <w:t xml:space="preserve">unusual beliefs,</w:t>
      </w:r>
      <w:r>
        <w:t xml:space="preserve">”</w:t>
      </w:r>
      <w:r>
        <w:t xml:space="preserve"> </w:t>
      </w:r>
      <w:r>
        <w:t xml:space="preserve">including</w:t>
      </w:r>
      <w:r>
        <w:t xml:space="preserve"> </w:t>
      </w:r>
      <w:r>
        <w:t xml:space="preserve">belief in UFOs and spirits. The trial court observed that such beliefs</w:t>
      </w:r>
      <w:r>
        <w:t xml:space="preserve"> </w:t>
      </w:r>
      <w:r>
        <w:t xml:space="preserve">“</w:t>
      </w:r>
      <w:r>
        <w:t xml:space="preserve">don’t really go to mental illness,</w:t>
      </w:r>
      <w:r>
        <w:t xml:space="preserve">”</w:t>
      </w:r>
      <w:r>
        <w:t xml:space="preserve"> </w:t>
      </w:r>
      <w:r>
        <w:t xml:space="preserve">and the</w:t>
      </w:r>
      <w:r>
        <w:t xml:space="preserve"> </w:t>
      </w:r>
      <w:r>
        <w:t xml:space="preserve">New Hampshire Supreme Court affirmed the exclusion: absent an offer of proof that the beliefs were symptoms of an</w:t>
      </w:r>
      <w:r>
        <w:t xml:space="preserve"> </w:t>
      </w:r>
      <w:r>
        <w:t xml:space="preserve">illness that caused the witness to lie or hallucinate or impaired her ability to relate the truth, they were not</w:t>
      </w:r>
      <w:r>
        <w:t xml:space="preserve"> </w:t>
      </w:r>
      <w:r>
        <w:t xml:space="preserve">relevant to credibility.</w:t>
      </w:r>
      <w:r>
        <w:t xml:space="preserve"> </w:t>
      </w:r>
      <w:r>
        <w:rPr>
          <w:iCs/>
          <w:i/>
        </w:rPr>
        <w:t xml:space="preserve">Id.</w:t>
      </w:r>
      <w:r>
        <w:t xml:space="preserve"> </w:t>
      </w:r>
      <w:r>
        <w:t xml:space="preserve">at 597-601, 903 A.2d at 1037-41. The court reached the same result under the</w:t>
      </w:r>
      <w:r>
        <w:t xml:space="preserve"> </w:t>
      </w:r>
      <w:r>
        <w:t xml:space="preserve">Confrontation Clause.</w:t>
      </w:r>
      <w:r>
        <w:t xml:space="preserve"> </w:t>
      </w:r>
      <w:r>
        <w:rPr>
          <w:iCs/>
          <w:i/>
        </w:rPr>
        <w:t xml:space="preserve">Id.</w:t>
      </w:r>
      <w:r>
        <w:t xml:space="preserve"> </w:t>
      </w:r>
      <w:r>
        <w:t xml:space="preserve">The Appellate Court of Maryland applied the same foundation requirement in</w:t>
      </w:r>
      <w:r>
        <w:t xml:space="preserve"> </w:t>
      </w:r>
      <w:r>
        <w:rPr>
          <w:iCs/>
          <w:i/>
        </w:rPr>
        <w:t xml:space="preserve">Nensala v.</w:t>
      </w:r>
      <w:r>
        <w:rPr>
          <w:iCs/>
          <w:i/>
        </w:rPr>
        <w:t xml:space="preserve"> </w:t>
      </w:r>
      <w:r>
        <w:rPr>
          <w:iCs/>
          <w:i/>
        </w:rPr>
        <w:t xml:space="preserve">State</w:t>
      </w:r>
      <w:r>
        <w:t xml:space="preserve">, 268 Md. App. 519, 351 A.3d 86 (2026). [Add the forum’s own authority on impeachment by mental condition.]</w:t>
      </w:r>
    </w:p>
    <w:p>
      <w:pPr>
        <w:pStyle w:val="BodyText"/>
        <w:spacing w:lineRule="exact" w:line="480" w:before="0" w:after="0"/>
        <w:ind w:firstLine="720"/>
      </w:pPr>
      <w:r>
        <w:t xml:space="preserve">No such foundation exists here. [No expert has examined (Witness). / The opposing party’s expert has offered no</w:t>
      </w:r>
      <w:r>
        <w:t xml:space="preserve"> </w:t>
      </w:r>
      <w:r>
        <w:t xml:space="preserve">opinion that (Witness) has a disorder affecting perception or truthfulness.] Questions about the experience would</w:t>
      </w:r>
      <w:r>
        <w:t xml:space="preserve"> </w:t>
      </w:r>
      <w:r>
        <w:t xml:space="preserve">invite the jury to speculate that an unusual experience is itself a sign of illness.</w:t>
      </w:r>
    </w:p>
    <w:p>
      <w:pPr>
        <w:pStyle w:val="BodyText"/>
        <w:spacing w:lineRule="exact" w:line="480" w:before="0" w:after="0"/>
        <w:ind w:firstLine="720"/>
      </w:pPr>
      <w:r>
        <w:rPr>
          <w:bCs/>
          <w:b/>
        </w:rPr>
        <w:t xml:space="preserve">III. The experience is not a</w:t>
      </w:r>
      <w:r>
        <w:rPr>
          <w:bCs/>
          <w:b/>
        </w:rPr>
        <w:t xml:space="preserve"> </w:t>
      </w:r>
      <w:r>
        <w:rPr>
          <w:bCs/>
          <w:b/>
        </w:rPr>
        <w:t xml:space="preserve">“</w:t>
      </w:r>
      <w:r>
        <w:rPr>
          <w:bCs/>
          <w:b/>
        </w:rPr>
        <w:t xml:space="preserve">delusion</w:t>
      </w:r>
      <w:r>
        <w:rPr>
          <w:bCs/>
          <w:b/>
        </w:rPr>
        <w:t xml:space="preserve">”</w:t>
      </w:r>
      <w:r>
        <w:rPr>
          <w:bCs/>
          <w:b/>
        </w:rPr>
        <w:t xml:space="preserve"> </w:t>
      </w:r>
      <w:r>
        <w:rPr>
          <w:bCs/>
          <w:b/>
        </w:rPr>
        <w:t xml:space="preserve">by its content, and official sources now treat UAP as real.</w:t>
      </w:r>
    </w:p>
    <w:p>
      <w:pPr>
        <w:pStyle w:val="BodyText"/>
        <w:spacing w:lineRule="exact" w:line="480" w:before="0" w:after="0"/>
        <w:ind w:firstLine="720"/>
      </w:pPr>
      <w:r>
        <w:t xml:space="preserve">A delusion, as psychiatry defines it, is a false belief firmly held despite clear evidence to the contrary that is not</w:t>
      </w:r>
      <w:r>
        <w:t xml:space="preserve"> </w:t>
      </w:r>
      <w:r>
        <w:t xml:space="preserve">“</w:t>
      </w:r>
      <w:r>
        <w:t xml:space="preserve">ordinarily accepted by other members of the person’s culture or subculture.</w:t>
      </w:r>
      <w:r>
        <w:t xml:space="preserve">”</w:t>
      </w:r>
      <w:r>
        <w:t xml:space="preserve"> </w:t>
      </w:r>
      <w:r>
        <w:t xml:space="preserve">American Psychiatric Association,</w:t>
      </w:r>
      <w:r>
        <w:t xml:space="preserve"> </w:t>
      </w:r>
      <w:r>
        <w:rPr>
          <w:iCs/>
          <w:i/>
        </w:rPr>
        <w:t xml:space="preserve">Diagnostic and Statistical Manual of Mental Disorders</w:t>
      </w:r>
      <w:r>
        <w:t xml:space="preserve">, Glossary of Technical Terms (5th ed. 2013). The intelligence</w:t>
      </w:r>
      <w:r>
        <w:t xml:space="preserve"> </w:t>
      </w:r>
      <w:r>
        <w:t xml:space="preserve">community has reported that</w:t>
      </w:r>
      <w:r>
        <w:t xml:space="preserve"> </w:t>
      </w:r>
      <w:r>
        <w:t xml:space="preserve">“</w:t>
      </w:r>
      <w:r>
        <w:t xml:space="preserve">[s]ociocultural stigmas</w:t>
      </w:r>
      <w:r>
        <w:t xml:space="preserve">”</w:t>
      </w:r>
      <w:r>
        <w:t xml:space="preserve"> </w:t>
      </w:r>
      <w:r>
        <w:t xml:space="preserve">are an obstacle to collecting data on UAP and that aviators</w:t>
      </w:r>
      <w:r>
        <w:t xml:space="preserve"> </w:t>
      </w:r>
      <w:r>
        <w:t xml:space="preserve">and analysts</w:t>
      </w:r>
      <w:r>
        <w:t xml:space="preserve"> </w:t>
      </w:r>
      <w:r>
        <w:t xml:space="preserve">“</w:t>
      </w:r>
      <w:r>
        <w:t xml:space="preserve">describe disparagement associated with observing UAP, reporting it, or attempting to discuss it with</w:t>
      </w:r>
      <w:r>
        <w:t xml:space="preserve"> </w:t>
      </w:r>
      <w:r>
        <w:t xml:space="preserve">colleagues.</w:t>
      </w:r>
      <w:r>
        <w:t xml:space="preserve">”</w:t>
      </w:r>
      <w:r>
        <w:t xml:space="preserve"> </w:t>
      </w:r>
      <w:r>
        <w:t xml:space="preserve">Office of the Director of National Intelligence,</w:t>
      </w:r>
      <w:r>
        <w:t xml:space="preserve"> </w:t>
      </w:r>
      <w:r>
        <w:rPr>
          <w:iCs/>
          <w:i/>
        </w:rPr>
        <w:t xml:space="preserve">Preliminary Assessment: Unidentified Aerial Phenomena</w:t>
      </w:r>
      <w:r>
        <w:t xml:space="preserve"> </w:t>
      </w:r>
      <w:r>
        <w:t xml:space="preserve">4 (June 25, 2021). Members of Congress have said that</w:t>
      </w:r>
      <w:r>
        <w:t xml:space="preserve"> </w:t>
      </w:r>
      <w:r>
        <w:t xml:space="preserve">“</w:t>
      </w:r>
      <w:r>
        <w:t xml:space="preserve">the stigma associated with UAPs has gotten in the way of good</w:t>
      </w:r>
      <w:r>
        <w:t xml:space="preserve"> </w:t>
      </w:r>
      <w:r>
        <w:t xml:space="preserve">intelligence analysis</w:t>
      </w:r>
      <w:r>
        <w:t xml:space="preserve">”</w:t>
      </w:r>
      <w:r>
        <w:t xml:space="preserve"> </w:t>
      </w:r>
      <w:r>
        <w:t xml:space="preserve">and that</w:t>
      </w:r>
      <w:r>
        <w:t xml:space="preserve"> </w:t>
      </w:r>
      <w:r>
        <w:t xml:space="preserve">“</w:t>
      </w:r>
      <w:r>
        <w:t xml:space="preserve">[p]ilots avoided reporting or were laughed at when they did</w:t>
      </w:r>
      <w:r>
        <w:t xml:space="preserve">”</w:t>
      </w:r>
      <w:r>
        <w:t xml:space="preserve"> </w:t>
      </w:r>
      <w:r>
        <w:t xml:space="preserve">(House Permanent Select</w:t>
      </w:r>
      <w:r>
        <w:t xml:space="preserve"> </w:t>
      </w:r>
      <w:r>
        <w:t xml:space="preserve">Committee on Intelligence subcommittee hearing, May 17, 2022 (statement of Rep. Carson)). Congress has created channels</w:t>
      </w:r>
      <w:r>
        <w:t xml:space="preserve"> </w:t>
      </w:r>
      <w:r>
        <w:t xml:space="preserve">for reporting UAP and protections for those who report. 50 U.S.C. §§3373, 3373b. A report of this kind is one that</w:t>
      </w:r>
      <w:r>
        <w:t xml:space="preserve"> </w:t>
      </w:r>
      <w:r>
        <w:t xml:space="preserve">credible people make, and its content alone says nothing about the reporter’s mental health.</w:t>
      </w:r>
    </w:p>
    <w:p>
      <w:pPr>
        <w:pStyle w:val="BodyText"/>
        <w:spacing w:lineRule="exact" w:line="480" w:before="0" w:after="0"/>
      </w:pPr>
      <w:r>
        <w:rPr>
          <w:bCs/>
          <w:b/>
        </w:rPr>
        <w:t xml:space="preserve">IV. The evidence fails Rules 401 and 403.</w:t>
      </w:r>
    </w:p>
    <w:p>
      <w:pPr>
        <w:pStyle w:val="BodyText"/>
        <w:spacing w:lineRule="exact" w:line="480" w:before="0" w:after="0"/>
        <w:ind w:firstLine="720"/>
      </w:pPr>
      <w:r>
        <w:t xml:space="preserve">Without a foundation, the evidence has no tendency to show that [Witness]’s testimony about [the events at issue] is</w:t>
      </w:r>
      <w:r>
        <w:t xml:space="preserve"> </w:t>
      </w:r>
      <w:r>
        <w:t xml:space="preserve">inaccurate. Fed. R. Evid. 401. Any slight value is substantially outweighed by the danger of unfair prejudice,</w:t>
      </w:r>
      <w:r>
        <w:t xml:space="preserve"> </w:t>
      </w:r>
      <w:r>
        <w:t xml:space="preserve">confusion of the issues, and waste of time. Fed. R. Evid. 403. The subject invites ridicule, and a jury may discount</w:t>
      </w:r>
      <w:r>
        <w:t xml:space="preserve"> </w:t>
      </w:r>
      <w:r>
        <w:t xml:space="preserve">the witness’s account of unrelated events because of it.</w:t>
      </w:r>
    </w:p>
    <w:p>
      <w:pPr>
        <w:pStyle w:val="BodyText"/>
        <w:spacing w:lineRule="exact" w:line="480" w:before="0" w:after="0"/>
        <w:ind w:firstLine="720"/>
      </w:pPr>
      <w:r>
        <w:rPr>
          <w:bCs/>
          <w:b/>
        </w:rPr>
        <w:t xml:space="preserve">V. Rule 608 does not permit the inquiry, and Rule 610 confirms the principle.</w:t>
      </w:r>
    </w:p>
    <w:p>
      <w:pPr>
        <w:pStyle w:val="BodyText"/>
        <w:spacing w:lineRule="exact" w:line="480" w:before="0" w:after="0"/>
        <w:ind w:firstLine="720"/>
      </w:pPr>
      <w:r>
        <w:t xml:space="preserve">Rule 608(b) permits inquiry into specific instances of conduct probative of character for truthfulness. A sincere</w:t>
      </w:r>
      <w:r>
        <w:t xml:space="preserve"> </w:t>
      </w:r>
      <w:r>
        <w:t xml:space="preserve">report of an experience is not an instance of untruthful conduct. Rule 610 bars evidence of a witness’s religious</w:t>
      </w:r>
      <w:r>
        <w:t xml:space="preserve"> </w:t>
      </w:r>
      <w:r>
        <w:t xml:space="preserve">beliefs or opinions to attack or support credibility. [If applicable:] [Witness]’s beliefs about non-human</w:t>
      </w:r>
      <w:r>
        <w:t xml:space="preserve"> </w:t>
      </w:r>
      <w:r>
        <w:t xml:space="preserve">intelligence are part of [Witness]’s [religious or spiritual practice], and Rule 610 applies directly. [Otherwise:]</w:t>
      </w:r>
      <w:r>
        <w:t xml:space="preserve"> </w:t>
      </w:r>
      <w:r>
        <w:t xml:space="preserve">The rule reflects the principle that a jury should not weigh testimony by the witness’s beliefs on contested matters</w:t>
      </w:r>
      <w:r>
        <w:t xml:space="preserve"> </w:t>
      </w:r>
      <w:r>
        <w:t xml:space="preserve">of faith or worldview, and that principle applies here.</w:t>
      </w:r>
    </w:p>
    <w:p>
      <w:pPr>
        <w:pStyle w:val="BodyText"/>
        <w:spacing w:lineRule="exact" w:line="480" w:before="0" w:after="0"/>
      </w:pPr>
      <w:r>
        <w:rPr>
          <w:bCs/>
          <w:b/>
        </w:rPr>
        <w:t xml:space="preserve">VI. Argument ridiculing the experience should be barred.</w:t>
      </w:r>
    </w:p>
    <w:p>
      <w:pPr>
        <w:pStyle w:val="BodyText"/>
        <w:spacing w:lineRule="exact" w:line="480" w:before="0" w:after="0"/>
        <w:ind w:firstLine="720"/>
      </w:pPr>
      <w:r>
        <w:t xml:space="preserve">Counsel may not argue facts not in evidence or appeal to the jury’s prejudices. [Cite the forum’s rule on improper</w:t>
      </w:r>
      <w:r>
        <w:t xml:space="preserve"> </w:t>
      </w:r>
      <w:r>
        <w:t xml:space="preserve">argument.] Sarcasm about being</w:t>
      </w:r>
      <w:r>
        <w:t xml:space="preserve"> </w:t>
      </w:r>
      <w:r>
        <w:t xml:space="preserve">“</w:t>
      </w:r>
      <w:r>
        <w:t xml:space="preserve">abducted by a UFO</w:t>
      </w:r>
      <w:r>
        <w:t xml:space="preserve">”</w:t>
      </w:r>
      <w:r>
        <w:t xml:space="preserve"> </w:t>
      </w:r>
      <w:r>
        <w:t xml:space="preserve">directed at a witness who has reported such an experience is an</w:t>
      </w:r>
      <w:r>
        <w:t xml:space="preserve"> </w:t>
      </w:r>
      <w:r>
        <w:t xml:space="preserve">appeal to prejudice, and it has no proper purpose once the evidence is excluded.</w:t>
      </w:r>
    </w:p>
    <w:p>
      <w:pPr>
        <w:pStyle w:val="BodyText"/>
        <w:spacing w:lineRule="exact" w:line="480" w:before="0" w:after="0"/>
      </w:pPr>
      <w:r>
        <w:rPr>
          <w:bCs/>
          <w:b/>
        </w:rPr>
        <w:t xml:space="preserve">VII. Requested order</w:t>
      </w:r>
    </w:p>
    <w:p>
      <w:pPr>
        <w:pStyle w:val="BodyText"/>
        <w:spacing w:lineRule="exact" w:line="480" w:before="0" w:after="0"/>
      </w:pPr>
      <w:r>
        <w:t xml:space="preserve">[Party] requests an order that:</w:t>
      </w:r>
      <w:r>
        <w:t xml:space="preserve"> </w:t>
      </w:r>
      <w:r>
        <w:t xml:space="preserve">1. No party shall offer evidence, ask questions, or make argument suggesting that [Witness]’s report of [the</w:t>
      </w:r>
      <w:r>
        <w:t xml:space="preserve"> </w:t>
      </w:r>
      <w:r>
        <w:t xml:space="preserve">experience] or beliefs about UAP or non-human intelligence show mental illness, delusion, or unreliability, unless</w:t>
      </w:r>
      <w:r>
        <w:t xml:space="preserve"> </w:t>
      </w:r>
      <w:r>
        <w:t xml:space="preserve">the party first makes an offer of proof outside the jury’s presence, through a qualified expert who has examined</w:t>
      </w:r>
      <w:r>
        <w:t xml:space="preserve"> </w:t>
      </w:r>
      <w:r>
        <w:t xml:space="preserve">[Witness] or reviewed sufficient records, that the experience or belief is a symptom of a mental disorder that</w:t>
      </w:r>
      <w:r>
        <w:t xml:space="preserve"> </w:t>
      </w:r>
      <w:r>
        <w:t xml:space="preserve">impairs [Witness]’s ability to perceive, remember, or relate events truthfully, and the Court rules the evidence</w:t>
      </w:r>
      <w:r>
        <w:t xml:space="preserve"> </w:t>
      </w:r>
      <w:r>
        <w:t xml:space="preserve">admissible.</w:t>
      </w:r>
      <w:r>
        <w:t xml:space="preserve"> </w:t>
      </w:r>
      <w:r>
        <w:t xml:space="preserve">2. No party shall make argument that ridicules [Witness]’s experience or beliefs.</w:t>
      </w:r>
      <w:r>
        <w:t xml:space="preserve"> </w:t>
      </w:r>
      <w:r>
        <w:t xml:space="preserve">3. Counsel shall instruct their witnesses accordingly.</w:t>
      </w:r>
    </w:p>
    <w:p>
      <w:pPr>
        <w:pStyle w:val="BodyText"/>
        <w:spacing w:lineRule="exact" w:line="480" w:before="0" w:after="0"/>
      </w:pPr>
      <w:r>
        <w:t xml:space="preserve">[Alternative, if the Court admits some evidence:] [Party] requests a limiting instruction that the jury may consider</w:t>
      </w:r>
      <w:r>
        <w:t xml:space="preserve"> </w:t>
      </w:r>
      <w:r>
        <w:t xml:space="preserve">the evidence only as it bears on [Witness]’s ability to perceive and relate the events at issue, and may not consider</w:t>
      </w:r>
      <w:r>
        <w:t xml:space="preserve"> </w:t>
      </w:r>
      <w:r>
        <w:t xml:space="preserve">the subject of the experience as evidence of mental illness.</w:t>
      </w:r>
    </w:p>
    <w:p>
      <w:pPr>
        <w:pStyle w:val="BodyText"/>
        <w:spacing w:lineRule="exact" w:line="480" w:before="0" w:after="0"/>
      </w:pPr>
      <w:r>
        <w:t xml:space="preserve">Dated: [__________]</w:t>
      </w:r>
    </w:p>
    <w:p>
      <w:pPr>
        <w:pStyle w:val="BodyText"/>
        <w:spacing w:lineRule="exact" w:line="480" w:before="0" w:after="0"/>
      </w:pPr>
      <w:r>
        <w:t xml:space="preserve">[Signature block]</w:t>
      </w:r>
    </w:p>
    <w:p>
      <w:pPr>
        <w:pStyle w:val="BodyText"/>
        <w:keepNext/>
        <w:spacing w:lineRule="exact" w:line="480" w:before="0" w:after="0"/>
        <w:jc w:val="center"/>
      </w:pPr>
      <w:r>
        <w:rPr>
          <w:bCs/>
          <w:b/>
        </w:rPr>
        <w:t xml:space="preserve">[PROPOSED] ORDER</w:t>
      </w:r>
    </w:p>
    <w:p>
      <w:pPr>
        <w:pStyle w:val="BodyText"/>
        <w:spacing w:lineRule="exact" w:line="480" w:before="0" w:after="0"/>
      </w:pPr>
      <w:r>
        <w:t xml:space="preserve">The motion is GRANTED. [Text of paragraphs 1-3 above.]</w:t>
      </w:r>
    </w:p>
    <w:p>
      <w:pPr>
        <w:pStyle w:val="BodyText"/>
        <w:spacing w:lineRule="exact" w:line="480" w:before="0" w:after="0"/>
      </w:pPr>
      <w:r>
        <w:t xml:space="preserve">[Judge]</w:t>
      </w:r>
    </w:p>
    <w:p>
      <w:pPr>
        <w:pStyle w:val="BodyText"/>
        <w:spacing w:lineRule="exact" w:line="480" w:before="0" w:after="0"/>
      </w:pPr>
      <w:r>
        <w:rPr>
          <w:bCs/>
          <w:b/>
        </w:rPr>
        <w:t xml:space="preserve">Drafting notes</w:t>
      </w:r>
    </w:p>
    <w:p>
      <w:pPr>
        <w:pStyle w:val="Compact"/>
        <w:numPr>
          <w:ilvl w:val="0"/>
          <w:numId w:val="1001"/>
        </w:numPr>
        <w:spacing w:lineRule="exact" w:line="480" w:before="0" w:after="0"/>
      </w:pPr>
      <w:r>
        <w:t xml:space="preserve">Describe the witness’s history accurately. If the witness has a relevant diagnosis, the motion should concede it</w:t>
      </w:r>
      <w:r>
        <w:t xml:space="preserve"> </w:t>
      </w:r>
      <w:r>
        <w:t xml:space="preserve">and argue only that the UFO content adds nothing to it.</w:t>
      </w:r>
    </w:p>
    <w:p>
      <w:pPr>
        <w:pStyle w:val="Compact"/>
        <w:numPr>
          <w:ilvl w:val="0"/>
          <w:numId w:val="1001"/>
        </w:numPr>
        <w:spacing w:lineRule="exact" w:line="480" w:before="0" w:after="0"/>
      </w:pPr>
      <w:r>
        <w:t xml:space="preserve">In family court, recast the motion around the nexus rule: a parent’s belief or report counts only on evidence that</w:t>
      </w:r>
      <w:r>
        <w:t xml:space="preserve"> </w:t>
      </w:r>
      <w:r>
        <w:t xml:space="preserve">it has led to conduct harming the child (</w:t>
      </w:r>
      <w:hyperlink r:id="rId21">
        <w:r>
          <w:rPr>
            <w:rStyle w:val="Hyperlink"/>
          </w:rPr>
          <w:t xml:space="preserve">Issue H4</w:t>
        </w:r>
      </w:hyperlink>
      <w:r>
        <w:t xml:space="preserve"> </w:t>
      </w:r>
      <w:r>
        <w:t xml:space="preserve">§4.4, citing</w:t>
      </w:r>
      <w:r>
        <w:t xml:space="preserve"> </w:t>
      </w:r>
      <w:r>
        <w:rPr>
          <w:iCs/>
          <w:i/>
        </w:rPr>
        <w:t xml:space="preserve">Kingston v. Kingston</w:t>
      </w:r>
      <w:r>
        <w:t xml:space="preserve">, 2022 UT 43, 532 P.3d 958, and</w:t>
      </w:r>
      <w:r>
        <w:t xml:space="preserve"> </w:t>
      </w:r>
      <w:r>
        <w:t xml:space="preserve">the forum’s religious-belief custody cases).</w:t>
      </w:r>
    </w:p>
    <w:p>
      <w:pPr>
        <w:pStyle w:val="Compact"/>
        <w:numPr>
          <w:ilvl w:val="0"/>
          <w:numId w:val="1001"/>
        </w:numPr>
        <w:spacing w:lineRule="exact" w:line="480" w:before="0" w:after="0"/>
      </w:pPr>
      <w:r>
        <w:t xml:space="preserve">If the witness is the defendant in a criminal case and an alien-control or similar defense is contemplated, see</w:t>
      </w:r>
      <w:r>
        <w:t xml:space="preserve"> </w:t>
      </w:r>
      <w:r>
        <w:rPr>
          <w:iCs/>
          <w:i/>
        </w:rPr>
        <w:t xml:space="preserve">State v. Moody</w:t>
      </w:r>
      <w:r>
        <w:t xml:space="preserve">, 192 Ariz. 505, 968 P.2d 578 (1998) (defense rejected as a matter of law). This motion protects</w:t>
      </w:r>
      <w:r>
        <w:t xml:space="preserve"> </w:t>
      </w:r>
      <w:r>
        <w:t xml:space="preserve">credibility; it does not support such a defense.</w:t>
      </w:r>
    </w:p>
    <w:p>
      <w:pPr>
        <w:pStyle w:val="Compact"/>
        <w:numPr>
          <w:ilvl w:val="0"/>
          <w:numId w:val="1001"/>
        </w:numPr>
        <w:spacing w:lineRule="exact" w:line="480" w:before="0" w:after="0"/>
      </w:pPr>
      <w:hyperlink r:id="rId21">
        <w:r>
          <w:rPr>
            <w:rStyle w:val="Hyperlink"/>
          </w:rPr>
          <w:t xml:space="preserve">Issue H4</w:t>
        </w:r>
      </w:hyperlink>
      <w:r>
        <w:t xml:space="preserve"> </w:t>
      </w:r>
      <w:r>
        <w:t xml:space="preserve">sets out the case law and the official record.</w:t>
      </w:r>
    </w:p>
    <w:bookmarkEnd w:id="22"/>
    <w:sectPr>
      <w:headerReference w:type="default" r:id="rId11"/>
      <w:footerReference w:type="default" r:id="rId12"/>
      <w:pgSz w:h="15840" w:w="12240"/>
      <w:pgMar w:bottom="936" w:left="2160" w:right="864" w:top="1440" w:header="576" w:footer="360"/>
      <w:pgBorders w:offsetFrom="text">
        <w:left w:val="double" w:sz="4" w:space="4" w:color="000000"/>
        <w:right w:val="single" w:sz="4" w:space="4" w:color="000000"/>
      </w:pgBorders>
      <w:pgNumType w:start="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Rule="exact" w:line="220" w:before="0" w:after="0"/>
      <w:jc w:val="center"/>
    </w:pPr>
    <w:r>
      <w:rPr>
        <w:rFonts w:ascii="Times New Roman" w:hAnsi="Times New Roman" w:cs="Times New Roman" w:eastAsia="Times New Roman"/>
        <w:sz w:val="20"/>
      </w:rPr>
      <w:fldChar w:fldCharType="begin"/>
    </w:r>
    <w:r>
      <w:rPr>
        <w:rFonts w:ascii="Times New Roman" w:hAnsi="Times New Roman" w:cs="Times New Roman" w:eastAsia="Times New Roman"/>
        <w:sz w:val="20"/>
      </w:rPr>
      <w:instrText xml:space="preserve"> PAGE </w:instrText>
    </w:r>
    <w:r>
      <w:rPr>
        <w:rFonts w:ascii="Times New Roman" w:hAnsi="Times New Roman" w:cs="Times New Roman" w:eastAsia="Times New Roman"/>
        <w:sz w:val="20"/>
      </w:rPr>
      <w:fldChar w:fldCharType="separate"/>
    </w:r>
    <w:r>
      <w:rPr>
        <w:rFonts w:ascii="Times New Roman" w:hAnsi="Times New Roman" w:cs="Times New Roman" w:eastAsia="Times New Roman"/>
        <w:sz w:val="20"/>
      </w:rPr>
      <w:t>1</w:t>
    </w:r>
    <w:r>
      <w:rPr>
        <w:rFonts w:ascii="Times New Roman" w:hAnsi="Times New Roman" w:cs="Times New Roman" w:eastAsia="Times New Roman"/>
        <w:sz w:val="20"/>
      </w:rPr>
      <w:fldChar w:fldCharType="end"/>
    </w:r>
  </w:p>
  <w:p>
    <w:pPr>
      <w:pBdr>
        <w:top w:val="single" w:sz="6" w:space="1" w:color="000000"/>
      </w:pBdr>
      <w:spacing w:lineRule="exact" w:line="220" w:before="0" w:after="0"/>
      <w:jc w:val="center"/>
    </w:pPr>
    <w:r>
      <w:rPr>
        <w:rFonts w:ascii="Times New Roman" w:hAnsi="Times New Roman" w:cs="Times New Roman" w:eastAsia="Times New Roman"/>
        <w:sz w:val="18"/>
      </w:rPr>
      <w:t>[PARTY]'S MOTION IN LIMINE TO EXCLUDE EVIDENCE AND ARGUMENT THAT [WITNESS]'S REPORT OF AN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Rule="exact" w:line="40" w:before="0" w:after="0"/>
    </w:pPr>
    <w:r>
      <w:pict>
        <v:shapetype id="_x0000_t202" coordsize="21600,21600" o:spt="202" path="m,l,21600r21600,l21600,xe">
          <v:stroke joinstyle="miter"/>
          <v:path gradientshapeok="t" o:connecttype="rect"/>
        </v:shapetype>
        <v:shape id="PleadingLineNumbers" o:spid="_x0000_s1025" type="#_x0000_t202" filled="f" stroked="f" style="position:absolute;margin-left:0.8in;margin-top:1in;width:0.5in;height:672pt;z-index:-251657216;mso-position-horizontal-relative:page;mso-position-vertical-relative:page">
          <v:textbox inset="0,0,0,0">
            <w:txbxContent>
              <w:p>
                <w:pPr>
                  <w:spacing w:before="0" w:after="0" w:line="480" w:lineRule="exact"/>
                  <w:jc w:val="right"/>
                </w:pPr>
                <w:r>
                  <w:rPr>
                    <w:rFonts w:ascii="Times New Roman" w:hAnsi="Times New Roman" w:cs="Times New Roman"/>
                    <w:sz w:val="24"/>
                  </w:rPr>
                  <w:t>1</w:t>
                </w:r>
              </w:p>
              <w:p>
                <w:pPr>
                  <w:spacing w:before="0" w:after="0" w:line="480" w:lineRule="exact"/>
                  <w:jc w:val="right"/>
                </w:pPr>
                <w:r>
                  <w:rPr>
                    <w:rFonts w:ascii="Times New Roman" w:hAnsi="Times New Roman" w:cs="Times New Roman"/>
                    <w:sz w:val="24"/>
                  </w:rPr>
                  <w:t>2</w:t>
                </w:r>
              </w:p>
              <w:p>
                <w:pPr>
                  <w:spacing w:before="0" w:after="0" w:line="480" w:lineRule="exact"/>
                  <w:jc w:val="right"/>
                </w:pPr>
                <w:r>
                  <w:rPr>
                    <w:rFonts w:ascii="Times New Roman" w:hAnsi="Times New Roman" w:cs="Times New Roman"/>
                    <w:sz w:val="24"/>
                  </w:rPr>
                  <w:t>3</w:t>
                </w:r>
              </w:p>
              <w:p>
                <w:pPr>
                  <w:spacing w:before="0" w:after="0" w:line="480" w:lineRule="exact"/>
                  <w:jc w:val="right"/>
                </w:pPr>
                <w:r>
                  <w:rPr>
                    <w:rFonts w:ascii="Times New Roman" w:hAnsi="Times New Roman" w:cs="Times New Roman"/>
                    <w:sz w:val="24"/>
                  </w:rPr>
                  <w:t>4</w:t>
                </w:r>
              </w:p>
              <w:p>
                <w:pPr>
                  <w:spacing w:before="0" w:after="0" w:line="480" w:lineRule="exact"/>
                  <w:jc w:val="right"/>
                </w:pPr>
                <w:r>
                  <w:rPr>
                    <w:rFonts w:ascii="Times New Roman" w:hAnsi="Times New Roman" w:cs="Times New Roman"/>
                    <w:sz w:val="24"/>
                  </w:rPr>
                  <w:t>5</w:t>
                </w:r>
              </w:p>
              <w:p>
                <w:pPr>
                  <w:spacing w:before="0" w:after="0" w:line="480" w:lineRule="exact"/>
                  <w:jc w:val="right"/>
                </w:pPr>
                <w:r>
                  <w:rPr>
                    <w:rFonts w:ascii="Times New Roman" w:hAnsi="Times New Roman" w:cs="Times New Roman"/>
                    <w:sz w:val="24"/>
                  </w:rPr>
                  <w:t>6</w:t>
                </w:r>
              </w:p>
              <w:p>
                <w:pPr>
                  <w:spacing w:before="0" w:after="0" w:line="480" w:lineRule="exact"/>
                  <w:jc w:val="right"/>
                </w:pPr>
                <w:r>
                  <w:rPr>
                    <w:rFonts w:ascii="Times New Roman" w:hAnsi="Times New Roman" w:cs="Times New Roman"/>
                    <w:sz w:val="24"/>
                  </w:rPr>
                  <w:t>7</w:t>
                </w:r>
              </w:p>
              <w:p>
                <w:pPr>
                  <w:spacing w:before="0" w:after="0" w:line="480" w:lineRule="exact"/>
                  <w:jc w:val="right"/>
                </w:pPr>
                <w:r>
                  <w:rPr>
                    <w:rFonts w:ascii="Times New Roman" w:hAnsi="Times New Roman" w:cs="Times New Roman"/>
                    <w:sz w:val="24"/>
                  </w:rPr>
                  <w:t>8</w:t>
                </w:r>
              </w:p>
              <w:p>
                <w:pPr>
                  <w:spacing w:before="0" w:after="0" w:line="480" w:lineRule="exact"/>
                  <w:jc w:val="right"/>
                </w:pPr>
                <w:r>
                  <w:rPr>
                    <w:rFonts w:ascii="Times New Roman" w:hAnsi="Times New Roman" w:cs="Times New Roman"/>
                    <w:sz w:val="24"/>
                  </w:rPr>
                  <w:t>9</w:t>
                </w:r>
              </w:p>
              <w:p>
                <w:pPr>
                  <w:spacing w:before="0" w:after="0" w:line="480" w:lineRule="exact"/>
                  <w:jc w:val="right"/>
                </w:pPr>
                <w:r>
                  <w:rPr>
                    <w:rFonts w:ascii="Times New Roman" w:hAnsi="Times New Roman" w:cs="Times New Roman"/>
                    <w:sz w:val="24"/>
                  </w:rPr>
                  <w:t>10</w:t>
                </w:r>
              </w:p>
              <w:p>
                <w:pPr>
                  <w:spacing w:before="0" w:after="0" w:line="480" w:lineRule="exact"/>
                  <w:jc w:val="right"/>
                </w:pPr>
                <w:r>
                  <w:rPr>
                    <w:rFonts w:ascii="Times New Roman" w:hAnsi="Times New Roman" w:cs="Times New Roman"/>
                    <w:sz w:val="24"/>
                  </w:rPr>
                  <w:t>11</w:t>
                </w:r>
              </w:p>
              <w:p>
                <w:pPr>
                  <w:spacing w:before="0" w:after="0" w:line="480" w:lineRule="exact"/>
                  <w:jc w:val="right"/>
                </w:pPr>
                <w:r>
                  <w:rPr>
                    <w:rFonts w:ascii="Times New Roman" w:hAnsi="Times New Roman" w:cs="Times New Roman"/>
                    <w:sz w:val="24"/>
                  </w:rPr>
                  <w:t>12</w:t>
                </w:r>
              </w:p>
              <w:p>
                <w:pPr>
                  <w:spacing w:before="0" w:after="0" w:line="480" w:lineRule="exact"/>
                  <w:jc w:val="right"/>
                </w:pPr>
                <w:r>
                  <w:rPr>
                    <w:rFonts w:ascii="Times New Roman" w:hAnsi="Times New Roman" w:cs="Times New Roman"/>
                    <w:sz w:val="24"/>
                  </w:rPr>
                  <w:t>13</w:t>
                </w:r>
              </w:p>
              <w:p>
                <w:pPr>
                  <w:spacing w:before="0" w:after="0" w:line="480" w:lineRule="exact"/>
                  <w:jc w:val="right"/>
                </w:pPr>
                <w:r>
                  <w:rPr>
                    <w:rFonts w:ascii="Times New Roman" w:hAnsi="Times New Roman" w:cs="Times New Roman"/>
                    <w:sz w:val="24"/>
                  </w:rPr>
                  <w:t>14</w:t>
                </w:r>
              </w:p>
              <w:p>
                <w:pPr>
                  <w:spacing w:before="0" w:after="0" w:line="480" w:lineRule="exact"/>
                  <w:jc w:val="right"/>
                </w:pPr>
                <w:r>
                  <w:rPr>
                    <w:rFonts w:ascii="Times New Roman" w:hAnsi="Times New Roman" w:cs="Times New Roman"/>
                    <w:sz w:val="24"/>
                  </w:rPr>
                  <w:t>15</w:t>
                </w:r>
              </w:p>
              <w:p>
                <w:pPr>
                  <w:spacing w:before="0" w:after="0" w:line="480" w:lineRule="exact"/>
                  <w:jc w:val="right"/>
                </w:pPr>
                <w:r>
                  <w:rPr>
                    <w:rFonts w:ascii="Times New Roman" w:hAnsi="Times New Roman" w:cs="Times New Roman"/>
                    <w:sz w:val="24"/>
                  </w:rPr>
                  <w:t>16</w:t>
                </w:r>
              </w:p>
              <w:p>
                <w:pPr>
                  <w:spacing w:before="0" w:after="0" w:line="480" w:lineRule="exact"/>
                  <w:jc w:val="right"/>
                </w:pPr>
                <w:r>
                  <w:rPr>
                    <w:rFonts w:ascii="Times New Roman" w:hAnsi="Times New Roman" w:cs="Times New Roman"/>
                    <w:sz w:val="24"/>
                  </w:rPr>
                  <w:t>17</w:t>
                </w:r>
              </w:p>
              <w:p>
                <w:pPr>
                  <w:spacing w:before="0" w:after="0" w:line="480" w:lineRule="exact"/>
                  <w:jc w:val="right"/>
                </w:pPr>
                <w:r>
                  <w:rPr>
                    <w:rFonts w:ascii="Times New Roman" w:hAnsi="Times New Roman" w:cs="Times New Roman"/>
                    <w:sz w:val="24"/>
                  </w:rPr>
                  <w:t>18</w:t>
                </w:r>
              </w:p>
              <w:p>
                <w:pPr>
                  <w:spacing w:before="0" w:after="0" w:line="480" w:lineRule="exact"/>
                  <w:jc w:val="right"/>
                </w:pPr>
                <w:r>
                  <w:rPr>
                    <w:rFonts w:ascii="Times New Roman" w:hAnsi="Times New Roman" w:cs="Times New Roman"/>
                    <w:sz w:val="24"/>
                  </w:rPr>
                  <w:t>19</w:t>
                </w:r>
              </w:p>
              <w:p>
                <w:pPr>
                  <w:spacing w:before="0" w:after="0" w:line="480" w:lineRule="exact"/>
                  <w:jc w:val="right"/>
                </w:pPr>
                <w:r>
                  <w:rPr>
                    <w:rFonts w:ascii="Times New Roman" w:hAnsi="Times New Roman" w:cs="Times New Roman"/>
                    <w:sz w:val="24"/>
                  </w:rPr>
                  <w:t>20</w:t>
                </w:r>
              </w:p>
              <w:p>
                <w:pPr>
                  <w:spacing w:before="0" w:after="0" w:line="480" w:lineRule="exact"/>
                  <w:jc w:val="right"/>
                </w:pPr>
                <w:r>
                  <w:rPr>
                    <w:rFonts w:ascii="Times New Roman" w:hAnsi="Times New Roman" w:cs="Times New Roman"/>
                    <w:sz w:val="24"/>
                  </w:rPr>
                  <w:t>21</w:t>
                </w:r>
              </w:p>
              <w:p>
                <w:pPr>
                  <w:spacing w:before="0" w:after="0" w:line="480" w:lineRule="exact"/>
                  <w:jc w:val="right"/>
                </w:pPr>
                <w:r>
                  <w:rPr>
                    <w:rFonts w:ascii="Times New Roman" w:hAnsi="Times New Roman" w:cs="Times New Roman"/>
                    <w:sz w:val="24"/>
                  </w:rPr>
                  <w:t>22</w:t>
                </w:r>
              </w:p>
              <w:p>
                <w:pPr>
                  <w:spacing w:before="0" w:after="0" w:line="480" w:lineRule="exact"/>
                  <w:jc w:val="right"/>
                </w:pPr>
                <w:r>
                  <w:rPr>
                    <w:rFonts w:ascii="Times New Roman" w:hAnsi="Times New Roman" w:cs="Times New Roman"/>
                    <w:sz w:val="24"/>
                  </w:rPr>
                  <w:t>23</w:t>
                </w:r>
              </w:p>
              <w:p>
                <w:pPr>
                  <w:spacing w:before="0" w:after="0" w:line="480" w:lineRule="exact"/>
                  <w:jc w:val="right"/>
                </w:pPr>
                <w:r>
                  <w:rPr>
                    <w:rFonts w:ascii="Times New Roman" w:hAnsi="Times New Roman" w:cs="Times New Roman"/>
                    <w:sz w:val="24"/>
                  </w:rPr>
                  <w:t>24</w:t>
                </w:r>
              </w:p>
              <w:p>
                <w:pPr>
                  <w:spacing w:before="0" w:after="0" w:line="480" w:lineRule="exact"/>
                  <w:jc w:val="right"/>
                </w:pPr>
                <w:r>
                  <w:rPr>
                    <w:rFonts w:ascii="Times New Roman" w:hAnsi="Times New Roman" w:cs="Times New Roman"/>
                    <w:sz w:val="24"/>
                  </w:rPr>
                  <w:t>25</w:t>
                </w:r>
              </w:p>
              <w:p>
                <w:pPr>
                  <w:spacing w:before="0" w:after="0" w:line="480" w:lineRule="exact"/>
                  <w:jc w:val="right"/>
                </w:pPr>
                <w:r>
                  <w:rPr>
                    <w:rFonts w:ascii="Times New Roman" w:hAnsi="Times New Roman" w:cs="Times New Roman"/>
                    <w:sz w:val="24"/>
                  </w:rPr>
                  <w:t>26</w:t>
                </w:r>
              </w:p>
              <w:p>
                <w:pPr>
                  <w:spacing w:before="0" w:after="0" w:line="480" w:lineRule="exact"/>
                  <w:jc w:val="right"/>
                </w:pPr>
                <w:r>
                  <w:rPr>
                    <w:rFonts w:ascii="Times New Roman" w:hAnsi="Times New Roman" w:cs="Times New Roman"/>
                    <w:sz w:val="24"/>
                  </w:rPr>
                  <w:t>27</w:t>
                </w:r>
              </w:p>
              <w:p>
                <w:pPr>
                  <w:spacing w:before="0" w:after="0" w:line="480" w:lineRule="exact"/>
                  <w:jc w:val="right"/>
                </w:pPr>
                <w:r>
                  <w:rPr>
                    <w:rFonts w:ascii="Times New Roman" w:hAnsi="Times New Roman" w:cs="Times New Roman"/>
                    <w:sz w:val="24"/>
                  </w:rPr>
                  <w:t>28</w:t>
                </w:r>
              </w:p>
            </w:txbxContent>
          </v:textbox>
        </v:shape>
      </w:pic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Times New Roman" w:cs="Times New Roman" w:eastAsia="Times New Roman" w:hAnsi="Times New Roman"/>
      <w:color w:val="000000"/>
      <w:sz w:val="24"/>
    </w:rPr>
  </w:style>
  <w:style w:styleId="BodyText" w:type="paragraph">
    <w:name w:val="Body Text"/>
    <w:basedOn w:val="Normal"/>
    <w:link w:val="BodyTextChar"/>
    <w:pPr>
      <w:spacing w:after="0" w:before="0" w:line="240" w:lineRule="auto"/>
    </w:pPr>
    <w:qFormat/>
    <w:rPr>
      <w:rFonts w:ascii="Times New Roman" w:cs="Times New Roman" w:eastAsia="Times New Roman" w:hAnsi="Times New Roman"/>
      <w:color w:val="000000"/>
      <w:sz w:val="24"/>
    </w:rPr>
  </w:style>
  <w:style w:customStyle="1" w:styleId="FirstParagraph" w:type="paragraph">
    <w:name w:val="First Paragraph"/>
    <w:basedOn w:val="BodyText"/>
    <w:next w:val="BodyText"/>
    <w:qFormat/>
    <w:pPr>
      <w:spacing w:after="0" w:before="0" w:line="240" w:lineRule="auto"/>
    </w:pPr>
    <w:rPr>
      <w:rFonts w:ascii="Times New Roman" w:cs="Times New Roman" w:eastAsia="Times New Roman" w:hAnsi="Times New Roman"/>
      <w:color w:val="000000"/>
      <w:sz w:val="24"/>
    </w:rPr>
  </w:style>
  <w:style w:customStyle="1" w:styleId="Compact" w:type="paragraph">
    <w:name w:val="Compact"/>
    <w:basedOn w:val="BodyText"/>
    <w:qFormat/>
    <w:pPr>
      <w:spacing w:after="0" w:before="0" w:line="240" w:lineRule="auto"/>
    </w:pPr>
    <w:rPr>
      <w:rFonts w:ascii="Times New Roman" w:cs="Times New Roman" w:eastAsia="Times New Roman" w:hAnsi="Times New Roman"/>
      <w:color w:val="000000"/>
      <w:sz w:val="24"/>
    </w:rPr>
  </w:style>
  <w:style w:styleId="Title" w:type="paragraph">
    <w:name w:val="Title"/>
    <w:basedOn w:val="Normal"/>
    <w:next w:val="BodyText"/>
    <w:qFormat/>
    <w:pPr>
      <w:keepNext/>
      <w:keepLines/>
      <w:spacing w:after="160" w:before="480"/>
      <w:jc w:val="left"/>
    </w:pPr>
    <w:rPr>
      <w:rFonts w:ascii="Times New Roman" w:cs="Times New Roman" w:eastAsia="Times New Roman" w:hAnsi="Times New Roman"/>
      <w:b/>
      <w:bCs/>
      <w:color w:val="1A2B3C"/>
      <w:sz w:val="40"/>
      <w:szCs w:val="36"/>
    </w:rPr>
  </w:style>
  <w:style w:styleId="Subtitle" w:type="paragraph">
    <w:name w:val="Subtitle"/>
    <w:basedOn w:val="Title"/>
    <w:next w:val="BodyText"/>
    <w:qFormat/>
    <w:pPr>
      <w:keepNext/>
      <w:keepLines/>
      <w:spacing w:after="160" w:before="240"/>
      <w:jc w:val="left"/>
    </w:pPr>
    <w:rPr>
      <w:rFonts w:ascii="Times New Roman" w:cs="Times New Roman" w:eastAsia="Times New Roman" w:hAnsi="Times New Roman"/>
      <w:color w:val="1A2B3C"/>
      <w:sz w:val="22"/>
      <w:szCs w:val="30"/>
    </w:rPr>
  </w:style>
  <w:style w:customStyle="1" w:styleId="Author" w:type="paragraph">
    <w:name w:val="Author"/>
    <w:next w:val="BodyText"/>
    <w:qFormat/>
    <w:pPr>
      <w:keepNext/>
      <w:keepLines/>
      <w:jc w:val="center"/>
    </w:pPr>
    <w:rPr>
      <w:rFonts w:ascii="Times New Roman" w:cs="Times New Roman" w:eastAsia="Times New Roman" w:hAnsi="Times New Roman"/>
      <w:color w:val="000000"/>
    </w:rPr>
  </w:style>
  <w:style w:styleId="Date" w:type="paragraph">
    <w:name w:val="Date"/>
    <w:next w:val="BodyText"/>
    <w:qFormat/>
    <w:pPr>
      <w:keepNext/>
      <w:keepLines/>
      <w:jc w:val="center"/>
    </w:pPr>
    <w:rPr>
      <w:rFonts w:ascii="Times New Roman" w:cs="Times New Roman" w:eastAsia="Times New Roman" w:hAnsi="Times New Roman"/>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Times New Roman" w:cs="Times New Roman" w:eastAsia="Times New Roman" w:hAnsi="Times New Roman"/>
      <w:b/>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color w:val="000000"/>
      <w:sz w:val="20"/>
      <w:szCs w:val="20"/>
    </w:rPr>
  </w:style>
  <w:style w:styleId="Bibliography" w:type="paragraph">
    <w:name w:val="Bibliography"/>
    <w:basedOn w:val="Normal"/>
    <w:next w:val="Bibliography"/>
    <w:qFormat/>
    <w:pPr/>
    <w:rPr>
      <w:rFonts w:ascii="Times New Roman" w:cs="Times New Roman" w:eastAsia="Times New Roman" w:hAnsi="Times New Roman"/>
      <w:color w:val="000000"/>
    </w:rPr>
  </w:style>
  <w:style w:styleId="Heading1" w:type="paragraph">
    <w:name w:val="Heading 1"/>
    <w:basedOn w:val="Normal"/>
    <w:next w:val="BodyText"/>
    <w:uiPriority w:val="9"/>
    <w:qFormat/>
    <w:pPr>
      <w:keepNext/>
      <w:keepLines/>
      <w:spacing w:after="120" w:before="280"/>
      <w:outlineLvl w:val="0"/>
    </w:pPr>
    <w:rPr>
      <w:rFonts w:ascii="Times New Roman" w:cs="Times New Roman" w:eastAsia="Times New Roman" w:hAnsi="Times New Roman"/>
      <w:b/>
      <w:bCs/>
      <w:i w:val="0"/>
      <w:color w:val="000000"/>
      <w:sz w:val="24"/>
      <w:szCs w:val="32"/>
    </w:rPr>
  </w:style>
  <w:style w:styleId="Heading2" w:type="paragraph">
    <w:name w:val="Heading 2"/>
    <w:basedOn w:val="Normal"/>
    <w:next w:val="BodyText"/>
    <w:uiPriority w:val="9"/>
    <w:unhideWhenUsed/>
    <w:qFormat/>
    <w:pPr>
      <w:keepNext/>
      <w:keepLines/>
      <w:spacing w:after="120" w:before="200"/>
      <w:outlineLvl w:val="1"/>
    </w:pPr>
    <w:rPr>
      <w:rFonts w:ascii="Times New Roman" w:cs="Times New Roman" w:eastAsia="Times New Roman" w:hAnsi="Times New Roman"/>
      <w:b/>
      <w:bCs/>
      <w:i w:val="0"/>
      <w:color w:val="000000"/>
      <w:sz w:val="24"/>
      <w:szCs w:val="28"/>
    </w:rPr>
  </w:style>
  <w:style w:styleId="Heading3" w:type="paragraph">
    <w:name w:val="Heading 3"/>
    <w:basedOn w:val="Normal"/>
    <w:next w:val="BodyText"/>
    <w:uiPriority w:val="9"/>
    <w:unhideWhenUsed/>
    <w:qFormat/>
    <w:pPr>
      <w:keepNext/>
      <w:keepLines/>
      <w:spacing w:after="120" w:before="200"/>
      <w:outlineLvl w:val="2"/>
    </w:pPr>
    <w:rPr>
      <w:rFonts w:ascii="Times New Roman" w:cs="Times New Roman" w:eastAsia="Times New Roman" w:hAnsi="Times New Roman"/>
      <w:b/>
      <w:bCs/>
      <w:i w:val="0"/>
      <w:color w:val="000000"/>
      <w:sz w:val="24"/>
      <w:szCs w:val="24"/>
    </w:rPr>
  </w:style>
  <w:style w:styleId="Heading4" w:type="paragraph">
    <w:name w:val="Heading 4"/>
    <w:basedOn w:val="Normal"/>
    <w:next w:val="BodyText"/>
    <w:uiPriority w:val="9"/>
    <w:unhideWhenUsed/>
    <w:qFormat/>
    <w:pPr>
      <w:keepNext/>
      <w:keepLines/>
      <w:spacing w:after="120" w:before="200"/>
      <w:outlineLvl w:val="3"/>
    </w:pPr>
    <w:rPr>
      <w:rFonts w:ascii="Times New Roman" w:cs="Times New Roman" w:eastAsia="Times New Roman" w:hAnsi="Times New Roman"/>
      <w:i w:val="0"/>
      <w:b/>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0" w:before="0" w:line="240" w:lineRule="auto"/>
      <w:ind w:firstLine="0" w:left="720" w:right="720"/>
    </w:pPr>
    <w:rPr>
      <w:rFonts w:ascii="Times New Roman" w:cs="Times New Roman" w:eastAsia="Times New Roman" w:hAnsi="Times New Roman"/>
      <w:color w:val="000000"/>
      <w:sz w:val="24"/>
    </w:rPr>
  </w:style>
  <w:style w:styleId="FootnoteText" w:type="paragraph">
    <w:name w:val="Footnote Text"/>
    <w:basedOn w:val="Normal"/>
    <w:next w:val="FootnoteText"/>
    <w:uiPriority w:val="9"/>
    <w:unhideWhenUsed/>
    <w:qFormat/>
    <w:rPr>
      <w:rFonts w:ascii="Times New Roman" w:cs="Times New Roman" w:eastAsia="Times New Roman" w:hAnsi="Times New Roman"/>
      <w:color w:val="000000"/>
    </w:rPr>
  </w:style>
  <w:style w:default="1" w:styleId="DefaultParagraphFont" w:type="character">
    <w:name w:val="Default Paragraph Font"/>
    <w:semiHidden/>
    <w:unhideWhenUsed/>
    <w:rPr>
      <w:rFonts w:ascii="Times New Roman" w:cs="Times New Roman" w:eastAsia="Times New Roman" w:hAnsi="Times New Roman"/>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Times New Roman" w:cs="Times New Roman" w:eastAsia="Times New Roman" w:hAnsi="Times New Roman"/>
      <w:b/>
      <w:color w:val="000000"/>
    </w:rPr>
  </w:style>
  <w:style w:customStyle="1" w:styleId="Definition" w:type="paragraph">
    <w:name w:val="Definition"/>
    <w:basedOn w:val="Normal"/>
    <w:rPr>
      <w:rFonts w:ascii="Times New Roman" w:cs="Times New Roman" w:eastAsia="Times New Roman" w:hAnsi="Times New Roman"/>
      <w:color w:val="000000"/>
    </w:rPr>
  </w:style>
  <w:style w:styleId="Caption" w:type="paragraph">
    <w:name w:val="Caption"/>
    <w:basedOn w:val="Normal"/>
    <w:link w:val="BodyTextChar"/>
    <w:pPr>
      <w:spacing w:after="120" w:before="0"/>
    </w:pPr>
    <w:rPr>
      <w:rFonts w:ascii="Times New Roman" w:cs="Times New Roman" w:eastAsia="Times New Roman" w:hAnsi="Times New Roman"/>
      <w:i/>
      <w:color w:val="000000"/>
    </w:rPr>
  </w:style>
  <w:style w:customStyle="1" w:styleId="TableCaption" w:type="paragraph">
    <w:name w:val="Table Caption"/>
    <w:basedOn w:val="Caption"/>
    <w:pPr>
      <w:keepNext/>
    </w:pPr>
    <w:rPr>
      <w:rFonts w:ascii="Times New Roman" w:cs="Times New Roman" w:eastAsia="Times New Roman" w:hAnsi="Times New Roman"/>
      <w:color w:val="000000"/>
    </w:rPr>
  </w:style>
  <w:style w:customStyle="1" w:styleId="ImageCaption" w:type="paragraph">
    <w:name w:val="Image Caption"/>
    <w:basedOn w:val="Caption"/>
    <w:rPr>
      <w:rFonts w:ascii="Times New Roman" w:cs="Times New Roman" w:eastAsia="Times New Roman" w:hAnsi="Times New Roman"/>
      <w:color w:val="000000"/>
    </w:rPr>
  </w:style>
  <w:style w:customStyle="1" w:styleId="Figure" w:type="paragraph">
    <w:name w:val="Figure"/>
    <w:basedOn w:val="Normal"/>
    <w:rPr>
      <w:rFonts w:ascii="Times New Roman" w:cs="Times New Roman" w:eastAsia="Times New Roman" w:hAnsi="Times New Roman"/>
      <w:color w:val="000000"/>
    </w:rPr>
  </w:style>
  <w:style w:customStyle="1" w:styleId="CaptionedFigure" w:type="paragraph">
    <w:name w:val="Captioned Figure"/>
    <w:basedOn w:val="Figure"/>
    <w:pPr>
      <w:keepNext/>
    </w:pPr>
    <w:rPr>
      <w:rFonts w:ascii="Times New Roman" w:cs="Times New Roman" w:eastAsia="Times New Roman" w:hAnsi="Times New Roman"/>
      <w:color w:val="000000"/>
    </w:rPr>
  </w:style>
  <w:style w:customStyle="1" w:styleId="BodyTextChar" w:type="character">
    <w:name w:val="Body Text Char"/>
    <w:basedOn w:val="DefaultParagraphFont"/>
    <w:link w:val="BodyText"/>
    <w:rPr>
      <w:rFonts w:ascii="Times New Roman" w:cs="Times New Roman" w:eastAsia="Times New Roman" w:hAnsi="Times New Roman"/>
      <w:color w:val="000000"/>
    </w:rPr>
  </w:style>
  <w:style w:customStyle="1" w:styleId="VerbatimChar" w:type="character">
    <w:name w:val="Verbatim Char"/>
    <w:basedOn w:val="BodyTextChar"/>
    <w:rPr>
      <w:rFonts w:ascii="Times New Roman" w:cs="Times New Roman" w:eastAsia="Times New Roman" w:hAnsi="Times New Roman"/>
      <w:color w:val="000000"/>
      <w:sz w:val="22"/>
    </w:rPr>
  </w:style>
  <w:style w:customStyle="1" w:styleId="SectionNumber" w:type="character">
    <w:name w:val="Section Number"/>
    <w:basedOn w:val="BodyTextChar"/>
    <w:rPr>
      <w:rFonts w:ascii="Times New Roman" w:cs="Times New Roman" w:eastAsia="Times New Roman" w:hAnsi="Times New Roman"/>
      <w:color w:val="000000"/>
    </w:rPr>
  </w:style>
  <w:style w:styleId="FootnoteReference" w:type="character">
    <w:name w:val="Footnote Reference"/>
    <w:basedOn w:val="BodyTextChar"/>
    <w:rPr>
      <w:rFonts w:ascii="Times New Roman" w:cs="Times New Roman" w:eastAsia="Times New Roman" w:hAnsi="Times New Roman"/>
      <w:color w:val="000000"/>
      <w:vertAlign w:val="superscript"/>
    </w:rPr>
  </w:style>
  <w:style w:styleId="Hyperlink" w:type="character">
    <w:name w:val="Hyperlink"/>
    <w:basedOn w:val="BodyTextChar"/>
    <w:rPr>
      <w:rFonts w:ascii="Times New Roman" w:cs="Times New Roman" w:eastAsia="Times New Roman" w:hAnsi="Times New Roman"/>
      <w:color w:val="1F6E6E"/>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forms/h4-2.html" TargetMode="External"/><Relationship Id="rId21" Type="http://schemas.openxmlformats.org/officeDocument/2006/relationships/hyperlink" Target="https://nhilaw.com/issues/h4.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forms/h4-2.html" TargetMode="External"/><Relationship Id="rId21" Type="http://schemas.openxmlformats.org/officeDocument/2006/relationships/hyperlink" Target="https://nhilaw.com/issues/h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H4-1. Motion in Limine to Exclude Evidence and Argument That a Witness's or Party's UAP Experience Shows Mental Illness</dc:title>
  <dc:creator>nhilaw.com</dc:creator>
  <cp:keywords/>
  <dcterms:created xsi:type="dcterms:W3CDTF">2026-10-19T03:16:02Z</dcterms:created>
  <dcterms:modified xsi:type="dcterms:W3CDTF">2026-10-19T03:16:02Z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