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df20271a88b1684e3fe13140afd9a8fbeb3b87b"/>
    <w:p>
      <w:pPr>
        <w:pStyle w:val="Heading1"/>
      </w:pPr>
      <w:r>
        <w:t xml:space="preserve">Form H4-2. Letter to an Evaluator About a Client’s UAP Experience, and Request to Amend a Health Record</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https://nhilaw.com/forms/h4-2.html</w:t>
      </w:r>
    </w:p>
    <w:p>
      <w:pPr>
        <w:pStyle w:val="BodyText"/>
        <w:spacing w:after="160" w:line="259" w:lineRule="auto"/>
      </w:pPr>
      <w:r>
        <w:rPr>
          <w:bCs/>
          <w:b/>
        </w:rPr>
        <w:t xml:space="preserve">Use.</w:t>
      </w:r>
      <w:r>
        <w:t xml:space="preserve"> </w:t>
      </w:r>
      <w:r>
        <w:t xml:space="preserve">Part A is a letter from counsel to a court-appointed or retained evaluator (competency, commitment, custody,</w:t>
      </w:r>
      <w:r>
        <w:t xml:space="preserve"> </w:t>
      </w:r>
      <w:r>
        <w:t xml:space="preserve">disability, or fitness for duty) whose evaluation will consider a client’s report of a UFO or UAP sighting, contact,</w:t>
      </w:r>
      <w:r>
        <w:t xml:space="preserve"> </w:t>
      </w:r>
      <w:r>
        <w:t xml:space="preserve">or abduction. It asks the evaluator to assess functioning and other evidence of disorder and to record the experience</w:t>
      </w:r>
      <w:r>
        <w:t xml:space="preserve"> </w:t>
      </w:r>
      <w:r>
        <w:t xml:space="preserve">as the client’s account. It does not ask the evaluator to accept the experience as fact or to reach any particular</w:t>
      </w:r>
      <w:r>
        <w:t xml:space="preserve"> </w:t>
      </w:r>
      <w:r>
        <w:t xml:space="preserve">conclusion. Part B is a request from the patient to a health care provider to amend a record that labels such a</w:t>
      </w:r>
      <w:r>
        <w:t xml:space="preserve"> </w:t>
      </w:r>
      <w:r>
        <w:t xml:space="preserve">report as a delusion without clinical findings, under the HIPAA Privacy Rule, 45 C.F.R. §164.526.</w:t>
      </w:r>
    </w:p>
    <w:p>
      <w:pPr>
        <w:pStyle w:val="BodyText"/>
        <w:spacing w:after="160" w:line="259" w:lineRule="auto"/>
      </w:pPr>
      <w:r>
        <w:rPr>
          <w:bCs/>
          <w:b/>
        </w:rPr>
        <w:t xml:space="preserve">When to use.</w:t>
      </w:r>
      <w:r>
        <w:t xml:space="preserve"> </w:t>
      </w:r>
      <w:r>
        <w:t xml:space="preserve">Before an evaluation in which the client’s experience will come up, or after a record has labeled</w:t>
      </w:r>
      <w:r>
        <w:t xml:space="preserve"> </w:t>
      </w:r>
      <w:r>
        <w:t xml:space="preserve">it.</w:t>
      </w:r>
      <w:r>
        <w:t xml:space="preserve"> </w:t>
      </w:r>
      <w:r>
        <w:rPr>
          <w:bCs/>
          <w:b/>
        </w:rPr>
        <w:t xml:space="preserve">Not for:</w:t>
      </w:r>
      <w:r>
        <w:t xml:space="preserve"> </w:t>
      </w:r>
      <w:r>
        <w:t xml:space="preserve">Arguing the merits to the court (</w:t>
      </w:r>
      <w:hyperlink r:id="rId20">
        <w:r>
          <w:rPr>
            <w:rStyle w:val="Hyperlink"/>
          </w:rPr>
          <w:t xml:space="preserve">Form H4-1</w:t>
        </w:r>
      </w:hyperlink>
      <w:r>
        <w:t xml:space="preserve">). Do not send Part A to a court-appointed evaluator without</w:t>
      </w:r>
      <w:r>
        <w:t xml:space="preserve"> </w:t>
      </w:r>
      <w:r>
        <w:t xml:space="preserve">checking the court’s rules on communications with its evaluator; in some courts a copy must go to all parties or the</w:t>
      </w:r>
      <w:r>
        <w:t xml:space="preserve"> </w:t>
      </w:r>
      <w:r>
        <w:t xml:space="preserve">letter must be filed.</w:t>
      </w:r>
    </w:p>
    <w:p>
      <w:pPr>
        <w:pStyle w:val="BodyText"/>
        <w:spacing w:after="160" w:line="259" w:lineRule="auto"/>
      </w:pPr>
      <w:r>
        <w:rPr>
          <w:bCs/>
          <w:b/>
        </w:rPr>
        <w:t xml:space="preserve">Deadlines.</w:t>
      </w:r>
      <w:r>
        <w:t xml:space="preserve"> </w:t>
      </w:r>
      <w:r>
        <w:t xml:space="preserve">A covered provider must act on an amendment request within 60 days, with one 30-day extension on</w:t>
      </w:r>
      <w:r>
        <w:t xml:space="preserve"> </w:t>
      </w:r>
      <w:r>
        <w:t xml:space="preserve">written notice (45 C.F.R. §164.526(b)(2)).</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Part A. Letter to evaluator</w:t>
      </w:r>
    </w:p>
    <w:p>
      <w:pPr>
        <w:pStyle w:val="BodyText"/>
      </w:pPr>
      <w:r>
        <w:t xml:space="preserve">[Counsel letterhead]</w:t>
      </w:r>
    </w:p>
    <w:p>
      <w:pPr>
        <w:pStyle w:val="BodyText"/>
      </w:pPr>
      <w:r>
        <w:t xml:space="preserve">[Date]</w:t>
      </w:r>
    </w:p>
    <w:p>
      <w:pPr>
        <w:pStyle w:val="BodyText"/>
      </w:pPr>
      <w:r>
        <w:t xml:space="preserve">[Evaluator name, credentials]</w:t>
      </w:r>
      <w:r>
        <w:br/>
      </w:r>
      <w:r>
        <w:t xml:space="preserve">[Address]</w:t>
      </w:r>
    </w:p>
    <w:p>
      <w:pPr>
        <w:pStyle w:val="BodyText"/>
      </w:pPr>
      <w:r>
        <w:rPr>
          <w:bCs/>
          <w:b/>
        </w:rPr>
        <w:t xml:space="preserve">Re: [Client], [case name and number, if any]; evaluation scheduled for [date]</w:t>
      </w:r>
    </w:p>
    <w:p>
      <w:pPr>
        <w:pStyle w:val="BodyText"/>
      </w:pPr>
      <w:r>
        <w:t xml:space="preserve">Dear Dr. [__]:</w:t>
      </w:r>
    </w:p>
    <w:p>
      <w:pPr>
        <w:pStyle w:val="BodyText"/>
      </w:pPr>
      <w:r>
        <w:t xml:space="preserve">I represent [Client] in [describe proceeding]. [You have been appointed by the Court / retained by ___] to evaluate</w:t>
      </w:r>
      <w:r>
        <w:t xml:space="preserve"> </w:t>
      </w:r>
      <w:r>
        <w:t xml:space="preserve">[Client]’s [competency to stand trial / need for treatment / parenting capacity / functional capacity / fitness for</w:t>
      </w:r>
      <w:r>
        <w:t xml:space="preserve"> </w:t>
      </w:r>
      <w:r>
        <w:t xml:space="preserve">duty]. [A copy of this letter is being provided to (opposing counsel / the Court) as the Court’s rules require.]</w:t>
      </w:r>
    </w:p>
    <w:p>
      <w:pPr>
        <w:pStyle w:val="BodyText"/>
      </w:pPr>
      <w:r>
        <w:t xml:space="preserve">[Client] has reported [briefly describe, e.g.,</w:t>
      </w:r>
      <w:r>
        <w:t xml:space="preserve"> </w:t>
      </w:r>
      <w:r>
        <w:t xml:space="preserve">“</w:t>
      </w:r>
      <w:r>
        <w:t xml:space="preserve">seeing an unidentified object over (place) in (year)</w:t>
      </w:r>
      <w:r>
        <w:t xml:space="preserve">”</w:t>
      </w:r>
      <w:r>
        <w:t xml:space="preserve"> </w:t>
      </w:r>
      <w:r>
        <w:t xml:space="preserve">or</w:t>
      </w:r>
      <w:r>
        <w:t xml:space="preserve"> </w:t>
      </w:r>
      <w:r>
        <w:t xml:space="preserve">“</w:t>
      </w:r>
      <w:r>
        <w:t xml:space="preserve">an experience</w:t>
      </w:r>
      <w:r>
        <w:t xml:space="preserve"> </w:t>
      </w:r>
      <w:r>
        <w:t xml:space="preserve">in (year) of being taken from (place) for several hours</w:t>
      </w:r>
      <w:r>
        <w:t xml:space="preserve">”</w:t>
      </w:r>
      <w:r>
        <w:t xml:space="preserve">]. I write to provide context for that report so that it can</w:t>
      </w:r>
      <w:r>
        <w:t xml:space="preserve"> </w:t>
      </w:r>
      <w:r>
        <w:t xml:space="preserve">be assessed with the same care as any other part of the history.</w:t>
      </w:r>
    </w:p>
    <w:p>
      <w:pPr>
        <w:pStyle w:val="Compact"/>
        <w:numPr>
          <w:ilvl w:val="0"/>
          <w:numId w:val="1001"/>
        </w:numPr>
      </w:pPr>
      <w:r>
        <w:rPr>
          <w:bCs/>
          <w:b/>
        </w:rPr>
        <w:t xml:space="preserve">The experience as an account.</w:t>
      </w:r>
      <w:r>
        <w:t xml:space="preserve"> </w:t>
      </w:r>
      <w:r>
        <w:t xml:space="preserve">[Client] will describe the experience. We ask that the report record it as</w:t>
      </w:r>
      <w:r>
        <w:t xml:space="preserve"> </w:t>
      </w:r>
      <w:r>
        <w:t xml:space="preserve">[Client]’s account, in [Client]’s words where possible, and state separately any clinical findings and the basis</w:t>
      </w:r>
      <w:r>
        <w:t xml:space="preserve"> </w:t>
      </w:r>
      <w:r>
        <w:t xml:space="preserve">for them.</w:t>
      </w:r>
    </w:p>
    <w:p>
      <w:pPr>
        <w:pStyle w:val="Compact"/>
        <w:numPr>
          <w:ilvl w:val="0"/>
          <w:numId w:val="1001"/>
        </w:numPr>
      </w:pPr>
      <w:r>
        <w:rPr>
          <w:bCs/>
          <w:b/>
        </w:rPr>
        <w:t xml:space="preserve">Content and form.</w:t>
      </w:r>
      <w:r>
        <w:t xml:space="preserve"> </w:t>
      </w:r>
      <w:r>
        <w:t xml:space="preserve">We ask that the evaluation address whether [Client] shows features of a disorder apart from</w:t>
      </w:r>
      <w:r>
        <w:t xml:space="preserve"> </w:t>
      </w:r>
      <w:r>
        <w:t xml:space="preserve">the content of the experience: disorganized thought or speech, hallucinations in other settings, functional</w:t>
      </w:r>
      <w:r>
        <w:t xml:space="preserve"> </w:t>
      </w:r>
      <w:r>
        <w:t xml:space="preserve">decline, inability to consider alternative explanations, or danger to self or others. [Client] [works as ___ /</w:t>
      </w:r>
      <w:r>
        <w:t xml:space="preserve"> </w:t>
      </w:r>
      <w:r>
        <w:t xml:space="preserve">cares for ___ / manages finances / has no psychiatric history], and records of that history are enclosed.</w:t>
      </w:r>
    </w:p>
    <w:p>
      <w:pPr>
        <w:pStyle w:val="Compact"/>
        <w:numPr>
          <w:ilvl w:val="0"/>
          <w:numId w:val="1001"/>
        </w:numPr>
      </w:pPr>
      <w:r>
        <w:rPr>
          <w:bCs/>
          <w:b/>
        </w:rPr>
        <w:t xml:space="preserve">Shared belief.</w:t>
      </w:r>
      <w:r>
        <w:t xml:space="preserve"> </w:t>
      </w:r>
      <w:r>
        <w:t xml:space="preserve">The glossary of the</w:t>
      </w:r>
      <w:r>
        <w:t xml:space="preserve"> </w:t>
      </w:r>
      <w:r>
        <w:rPr>
          <w:iCs/>
          <w:i/>
        </w:rPr>
        <w:t xml:space="preserve">Diagnostic and Statistical Manual of Mental Disorders</w:t>
      </w:r>
      <w:r>
        <w:t xml:space="preserve"> </w:t>
      </w:r>
      <w:r>
        <w:t xml:space="preserve">(5th ed. 2013)</w:t>
      </w:r>
      <w:r>
        <w:t xml:space="preserve"> </w:t>
      </w:r>
      <w:r>
        <w:t xml:space="preserve">excludes from the definition of delusion a belief</w:t>
      </w:r>
      <w:r>
        <w:t xml:space="preserve"> </w:t>
      </w:r>
      <w:r>
        <w:t xml:space="preserve">“</w:t>
      </w:r>
      <w:r>
        <w:t xml:space="preserve">ordinarily accepted by other members of the person’s culture or</w:t>
      </w:r>
      <w:r>
        <w:t xml:space="preserve"> </w:t>
      </w:r>
      <w:r>
        <w:t xml:space="preserve">subculture.</w:t>
      </w:r>
      <w:r>
        <w:t xml:space="preserve">”</w:t>
      </w:r>
      <w:r>
        <w:t xml:space="preserve"> </w:t>
      </w:r>
      <w:r>
        <w:t xml:space="preserve">Belief that UAP exist and may be of non-human origin is now widely held and has been treated as a</w:t>
      </w:r>
      <w:r>
        <w:t xml:space="preserve"> </w:t>
      </w:r>
      <w:r>
        <w:t xml:space="preserve">serious matter by Congress and the intelligence community. The Office of the Director of National Intelligence has</w:t>
      </w:r>
      <w:r>
        <w:t xml:space="preserve"> </w:t>
      </w:r>
      <w:r>
        <w:t xml:space="preserve">reported that observers face</w:t>
      </w:r>
      <w:r>
        <w:t xml:space="preserve"> </w:t>
      </w:r>
      <w:r>
        <w:t xml:space="preserve">“</w:t>
      </w:r>
      <w:r>
        <w:t xml:space="preserve">disparagement associated with observing UAP, reporting it, or attempting to discuss</w:t>
      </w:r>
      <w:r>
        <w:t xml:space="preserve"> </w:t>
      </w:r>
      <w:r>
        <w:t xml:space="preserve">it with colleagues.</w:t>
      </w:r>
      <w:r>
        <w:t xml:space="preserve">”</w:t>
      </w:r>
      <w:r>
        <w:t xml:space="preserve"> </w:t>
      </w:r>
      <w:r>
        <w:rPr>
          <w:iCs/>
          <w:i/>
        </w:rPr>
        <w:t xml:space="preserve">Preliminary Assessment: Unidentified Aerial Phenomena</w:t>
      </w:r>
      <w:r>
        <w:t xml:space="preserve"> </w:t>
      </w:r>
      <w:r>
        <w:t xml:space="preserve">4 (June 25, 2021).</w:t>
      </w:r>
    </w:p>
    <w:p>
      <w:pPr>
        <w:pStyle w:val="Compact"/>
        <w:numPr>
          <w:ilvl w:val="0"/>
          <w:numId w:val="1001"/>
        </w:numPr>
      </w:pPr>
      <w:r>
        <w:rPr>
          <w:bCs/>
          <w:b/>
        </w:rPr>
        <w:t xml:space="preserve">Alternative explanations.</w:t>
      </w:r>
      <w:r>
        <w:t xml:space="preserve"> </w:t>
      </w:r>
      <w:r>
        <w:t xml:space="preserve">If the evaluation considers sleep-related or other explanations for the experience,</w:t>
      </w:r>
      <w:r>
        <w:t xml:space="preserve"> </w:t>
      </w:r>
      <w:r>
        <w:t xml:space="preserve">we ask that the report say so and explain how they bear on the referral question.</w:t>
      </w:r>
    </w:p>
    <w:p>
      <w:pPr>
        <w:pStyle w:val="Compact"/>
        <w:numPr>
          <w:ilvl w:val="0"/>
          <w:numId w:val="1001"/>
        </w:numPr>
      </w:pPr>
      <w:r>
        <w:rPr>
          <w:bCs/>
          <w:b/>
        </w:rPr>
        <w:t xml:space="preserve">The referral question.</w:t>
      </w:r>
      <w:r>
        <w:t xml:space="preserve"> </w:t>
      </w:r>
      <w:r>
        <w:t xml:space="preserve">We ask that the conclusions be tied to the legal question: [state the standard, e.g.,</w:t>
      </w:r>
      <w:r>
        <w:t xml:space="preserve"> </w:t>
      </w:r>
      <w:r>
        <w:t xml:space="preserve">“</w:t>
      </w:r>
      <w:r>
        <w:t xml:space="preserve">whether (Client) has a rational and factual understanding of the proceedings and can consult with counsel</w:t>
      </w:r>
      <w:r>
        <w:t xml:space="preserve">”</w:t>
      </w:r>
      <w:r>
        <w:t xml:space="preserve"> </w:t>
      </w:r>
      <w:r>
        <w:t xml:space="preserve">(</w:t>
      </w:r>
      <w:r>
        <w:rPr>
          <w:iCs/>
          <w:i/>
        </w:rPr>
        <w:t xml:space="preserve">Dusky v. United States</w:t>
      </w:r>
      <w:r>
        <w:t xml:space="preserve">, 362 U.S. 402 (1960));</w:t>
      </w:r>
      <w:r>
        <w:t xml:space="preserve"> </w:t>
      </w:r>
      <w:r>
        <w:t xml:space="preserve">“</w:t>
      </w:r>
      <w:r>
        <w:t xml:space="preserve">whether (Client) presents a danger to self or others or is gravely</w:t>
      </w:r>
      <w:r>
        <w:t xml:space="preserve"> </w:t>
      </w:r>
      <w:r>
        <w:t xml:space="preserve">disabled</w:t>
      </w:r>
      <w:r>
        <w:t xml:space="preserve">”</w:t>
      </w:r>
      <w:r>
        <w:t xml:space="preserve">;</w:t>
      </w:r>
      <w:r>
        <w:t xml:space="preserve"> </w:t>
      </w:r>
      <w:r>
        <w:t xml:space="preserve">“</w:t>
      </w:r>
      <w:r>
        <w:t xml:space="preserve">whether any condition affects (Client)’s parenting in a way that harms the children</w:t>
      </w:r>
      <w:r>
        <w:t xml:space="preserve">”</w:t>
      </w:r>
      <w:r>
        <w:t xml:space="preserve">].</w:t>
      </w:r>
    </w:p>
    <w:p>
      <w:pPr>
        <w:pStyle w:val="FirstParagraph"/>
      </w:pPr>
      <w:r>
        <w:t xml:space="preserve">Enclosed: [records of employment, prior evaluations, treating provider letter].</w:t>
      </w:r>
    </w:p>
    <w:p>
      <w:pPr>
        <w:pStyle w:val="BodyText"/>
      </w:pPr>
      <w:r>
        <w:t xml:space="preserve">Thank you for your attention to these points.</w:t>
      </w:r>
    </w:p>
    <w:p>
      <w:pPr>
        <w:pStyle w:val="BodyText"/>
      </w:pPr>
      <w:r>
        <w:t xml:space="preserve">Sincerely,</w:t>
      </w:r>
    </w:p>
    <w:p>
      <w:pPr>
        <w:pStyle w:val="BodyText"/>
      </w:pPr>
      <w:r>
        <w:t xml:space="preserve">[Counsel]</w:t>
      </w:r>
    </w:p>
    <w:p>
      <w:pPr>
        <w:pStyle w:val="BodyText"/>
      </w:pPr>
      <w:r>
        <w:br w:type="page"/>
      </w:r>
    </w:p>
    <w:p>
      <w:pPr>
        <w:pStyle w:val="BodyText"/>
      </w:pPr>
      <w:r>
        <w:rPr>
          <w:bCs/>
          <w:b/>
        </w:rPr>
        <w:t xml:space="preserve">Part B. Request to amend a health record (45 C.F.R. §164.526)</w:t>
      </w:r>
    </w:p>
    <w:p>
      <w:pPr>
        <w:pStyle w:val="BodyText"/>
      </w:pPr>
      <w:r>
        <w:t xml:space="preserve">[Patient name, date of birth, address, phone]</w:t>
      </w:r>
    </w:p>
    <w:p>
      <w:pPr>
        <w:pStyle w:val="BodyText"/>
      </w:pPr>
      <w:r>
        <w:t xml:space="preserve">[Date]</w:t>
      </w:r>
    </w:p>
    <w:p>
      <w:pPr>
        <w:pStyle w:val="BodyText"/>
      </w:pPr>
      <w:r>
        <w:t xml:space="preserve">[Privacy Officer / Health Information Management]</w:t>
      </w:r>
      <w:r>
        <w:br/>
      </w:r>
      <w:r>
        <w:t xml:space="preserve">[Provider or facility]</w:t>
      </w:r>
      <w:r>
        <w:br/>
      </w:r>
      <w:r>
        <w:t xml:space="preserve">[Address]</w:t>
      </w:r>
    </w:p>
    <w:p>
      <w:pPr>
        <w:pStyle w:val="BodyText"/>
      </w:pPr>
      <w:r>
        <w:rPr>
          <w:bCs/>
          <w:b/>
        </w:rPr>
        <w:t xml:space="preserve">Re: Request to amend protected health information; [record date and type, e.g.,</w:t>
      </w:r>
      <w:r>
        <w:rPr>
          <w:bCs/>
          <w:b/>
        </w:rPr>
        <w:t xml:space="preserve"> </w:t>
      </w:r>
      <w:r>
        <w:rPr>
          <w:bCs/>
          <w:b/>
        </w:rPr>
        <w:t xml:space="preserve">“</w:t>
      </w:r>
      <w:r>
        <w:rPr>
          <w:bCs/>
          <w:b/>
        </w:rPr>
        <w:t xml:space="preserve">progress note of (date) by (provider)</w:t>
      </w:r>
      <w:r>
        <w:rPr>
          <w:bCs/>
          <w:b/>
        </w:rPr>
        <w:t xml:space="preserve">”</w:t>
      </w:r>
      <w:r>
        <w:rPr>
          <w:bCs/>
          <w:b/>
        </w:rPr>
        <w:t xml:space="preserve">]</w:t>
      </w:r>
    </w:p>
    <w:p>
      <w:pPr>
        <w:pStyle w:val="BodyText"/>
      </w:pPr>
      <w:r>
        <w:t xml:space="preserve">Dear Privacy Officer:</w:t>
      </w:r>
    </w:p>
    <w:p>
      <w:pPr>
        <w:pStyle w:val="BodyText"/>
      </w:pPr>
      <w:r>
        <w:t xml:space="preserve">Under 45 C.F.R. §164.526, I request that [provider] amend the record identified above.</w:t>
      </w:r>
    </w:p>
    <w:p>
      <w:pPr>
        <w:pStyle w:val="BodyText"/>
      </w:pPr>
      <w:r>
        <w:rPr>
          <w:bCs/>
          <w:b/>
        </w:rPr>
        <w:t xml:space="preserve">The entry.</w:t>
      </w:r>
      <w:r>
        <w:t xml:space="preserve"> </w:t>
      </w:r>
      <w:r>
        <w:t xml:space="preserve">The record states:</w:t>
      </w:r>
      <w:r>
        <w:t xml:space="preserve"> </w:t>
      </w:r>
      <w:r>
        <w:t xml:space="preserve">“</w:t>
      </w:r>
      <w:r>
        <w:t xml:space="preserve">[quote the entry, e.g.,</w:t>
      </w:r>
      <w:r>
        <w:t xml:space="preserve"> </w:t>
      </w:r>
      <w:r>
        <w:t xml:space="preserve">‘</w:t>
      </w:r>
      <w:r>
        <w:t xml:space="preserve">Pt reports delusions of alien abduction</w:t>
      </w:r>
      <w:r>
        <w:t xml:space="preserve">’</w:t>
      </w:r>
      <w:r>
        <w:t xml:space="preserve">].</w:t>
      </w:r>
      <w:r>
        <w:t xml:space="preserve">”</w:t>
      </w:r>
    </w:p>
    <w:p>
      <w:pPr>
        <w:pStyle w:val="BodyText"/>
      </w:pPr>
      <w:r>
        <w:rPr>
          <w:bCs/>
          <w:b/>
        </w:rPr>
        <w:t xml:space="preserve">The requested amendment.</w:t>
      </w:r>
      <w:r>
        <w:t xml:space="preserve"> </w:t>
      </w:r>
      <w:r>
        <w:t xml:space="preserve">Please amend the entry to read:</w:t>
      </w:r>
      <w:r>
        <w:t xml:space="preserve"> </w:t>
      </w:r>
      <w:r>
        <w:t xml:space="preserve">“</w:t>
      </w:r>
      <w:r>
        <w:t xml:space="preserve">[e.g.,</w:t>
      </w:r>
      <w:r>
        <w:t xml:space="preserve"> </w:t>
      </w:r>
      <w:r>
        <w:t xml:space="preserve">‘</w:t>
      </w:r>
      <w:r>
        <w:t xml:space="preserve">Pt reports an experience in (year) that pt</w:t>
      </w:r>
      <w:r>
        <w:br/>
      </w:r>
      <w:r>
        <w:t xml:space="preserve">describes as being taken from home by unidentified figures. No other psychotic symptoms observed.</w:t>
      </w:r>
      <w:r>
        <w:t xml:space="preserve">’</w:t>
      </w:r>
      <w:r>
        <w:t xml:space="preserve">]</w:t>
      </w:r>
      <w:r>
        <w:t xml:space="preserve">”</w:t>
      </w:r>
      <w:r>
        <w:t xml:space="preserve"> </w:t>
      </w:r>
      <w:r>
        <w:t xml:space="preserve">[or: Please add</w:t>
      </w:r>
      <w:r>
        <w:br/>
      </w:r>
      <w:r>
        <w:t xml:space="preserve">the following statement to the entry:</w:t>
      </w:r>
      <w:r>
        <w:t xml:space="preserve"> </w:t>
      </w:r>
      <w:r>
        <w:t xml:space="preserve">“</w:t>
      </w:r>
      <w:r>
        <w:t xml:space="preserve">___.</w:t>
      </w:r>
      <w:r>
        <w:t xml:space="preserve">”</w:t>
      </w:r>
      <w:r>
        <w:t xml:space="preserve">]</w:t>
      </w:r>
    </w:p>
    <w:p>
      <w:pPr>
        <w:pStyle w:val="BodyText"/>
      </w:pPr>
      <w:r>
        <w:rPr>
          <w:bCs/>
          <w:b/>
        </w:rPr>
        <w:t xml:space="preserve">Reason.</w:t>
      </w:r>
      <w:r>
        <w:t xml:space="preserve"> </w:t>
      </w:r>
      <w:r>
        <w:t xml:space="preserve">The entry records a diagnosis-like conclusion that the clinical record does not support. [The note does</w:t>
      </w:r>
      <w:r>
        <w:br/>
      </w:r>
      <w:r>
        <w:t xml:space="preserve">not record any examination findings of a delusional disorder, such as ___. / The provider’s own mental status</w:t>
      </w:r>
      <w:r>
        <w:br/>
      </w:r>
      <w:r>
        <w:t xml:space="preserve">examination on the same date recorded normal thought process and content apart from my report.] I am not asking that</w:t>
      </w:r>
      <w:r>
        <w:br/>
      </w:r>
      <w:r>
        <w:t xml:space="preserve">the record state that the experience happened as I described it. I am asking that it record my report as my report and</w:t>
      </w:r>
      <w:r>
        <w:br/>
      </w:r>
      <w:r>
        <w:t xml:space="preserve">state any clinical findings separately.</w:t>
      </w:r>
    </w:p>
    <w:p>
      <w:pPr>
        <w:pStyle w:val="BodyText"/>
      </w:pPr>
      <w:r>
        <w:t xml:space="preserve">If you deny this request in whole or part, please provide a written denial stating the basis, my right to submit a</w:t>
      </w:r>
      <w:r>
        <w:br/>
      </w:r>
      <w:r>
        <w:t xml:space="preserve">statement of disagreement, and how to complain to you and to the Secretary of Health and Human Services, as 45 C.F.R.</w:t>
      </w:r>
      <w:r>
        <w:br/>
      </w:r>
      <w:r>
        <w:t xml:space="preserve">§164.526(d) requires. If the request is denied, I will submit a statement of disagreement, and I ask that it be</w:t>
      </w:r>
      <w:r>
        <w:br/>
      </w:r>
      <w:r>
        <w:t xml:space="preserve">included with any future disclosure of the record. 45 C.F.R. §164.526(d)(1)(ii), (d)(5).</w:t>
      </w:r>
    </w:p>
    <w:p>
      <w:pPr>
        <w:pStyle w:val="BodyText"/>
      </w:pPr>
      <w:r>
        <w:t xml:space="preserve">Please also identify persons to whom the record has been disclosed whom I may ask you to notify of the amendment. 45</w:t>
      </w:r>
      <w:r>
        <w:br/>
      </w:r>
      <w:r>
        <w:t xml:space="preserve">C.F.R. §164.526(c)(3).</w:t>
      </w:r>
    </w:p>
    <w:p>
      <w:pPr>
        <w:pStyle w:val="BodyText"/>
      </w:pPr>
      <w:r>
        <w:t xml:space="preserve">Sincerely,</w:t>
      </w:r>
    </w:p>
    <w:p>
      <w:pPr>
        <w:pStyle w:val="BodyText"/>
      </w:pPr>
      <w:r>
        <w:t xml:space="preserve">[Signature]</w:t>
      </w:r>
    </w:p>
    <w:p>
      <w:pPr>
        <w:pStyle w:val="BodyText"/>
      </w:pPr>
      <w:r>
        <w:rPr>
          <w:bCs/>
          <w:b/>
        </w:rPr>
        <w:t xml:space="preserve">Drafting notes</w:t>
      </w:r>
    </w:p>
    <w:p>
      <w:pPr>
        <w:pStyle w:val="Compact"/>
        <w:numPr>
          <w:ilvl w:val="0"/>
          <w:numId w:val="1002"/>
        </w:numPr>
      </w:pPr>
      <w:r>
        <w:t xml:space="preserve">Part A is advocacy and should be measured. An evaluator who reads a request to accept the experience as fact will</w:t>
      </w:r>
      <w:r>
        <w:br/>
      </w:r>
      <w:r>
        <w:t xml:space="preserve">discount the letter.</w:t>
      </w:r>
      <w:r>
        <w:br/>
      </w:r>
    </w:p>
    <w:p>
      <w:pPr>
        <w:pStyle w:val="Compact"/>
        <w:numPr>
          <w:ilvl w:val="0"/>
          <w:numId w:val="1002"/>
        </w:numPr>
      </w:pPr>
      <w:r>
        <w:t xml:space="preserve">A provider may deny an amendment if the record is accurate and complete (45 C.F.R. §164.526(a)(2)(iv)). The request</w:t>
      </w:r>
      <w:r>
        <w:br/>
      </w:r>
      <w:r>
        <w:t xml:space="preserve">is strongest where the entry states a conclusion (</w:t>
      </w:r>
      <w:r>
        <w:t xml:space="preserve">“</w:t>
      </w:r>
      <w:r>
        <w:t xml:space="preserve">delusional</w:t>
      </w:r>
      <w:r>
        <w:t xml:space="preserve">”</w:t>
      </w:r>
      <w:r>
        <w:t xml:space="preserve">) without findings; a statement of disagreement</w:t>
      </w:r>
      <w:r>
        <w:br/>
      </w:r>
      <w:r>
        <w:t xml:space="preserve">still travels with the record if the request is denied.</w:t>
      </w:r>
      <w:r>
        <w:br/>
      </w:r>
    </w:p>
    <w:p>
      <w:pPr>
        <w:pStyle w:val="Compact"/>
        <w:numPr>
          <w:ilvl w:val="0"/>
          <w:numId w:val="1002"/>
        </w:numPr>
      </w:pPr>
      <w:r>
        <w:t xml:space="preserve">For federal agency records (VA, military treatment facilities, agency medical offices), add a Privacy Act</w:t>
      </w:r>
      <w:r>
        <w:br/>
      </w:r>
      <w:r>
        <w:t xml:space="preserve">amendment request under 5 U.S.C. §552a(d)(2).</w:t>
      </w:r>
      <w:r>
        <w:br/>
      </w:r>
    </w:p>
    <w:p>
      <w:pPr>
        <w:pStyle w:val="Compact"/>
        <w:numPr>
          <w:ilvl w:val="0"/>
          <w:numId w:val="1002"/>
        </w:numPr>
      </w:pPr>
      <w:hyperlink r:id="rId21">
        <w:r>
          <w:rPr>
            <w:rStyle w:val="Hyperlink"/>
          </w:rPr>
          <w:t xml:space="preserve">Issue H4</w:t>
        </w:r>
      </w:hyperlink>
      <w:r>
        <w:t xml:space="preserve"> </w:t>
      </w:r>
      <w:r>
        <w:t xml:space="preserve">§§3-4 explains the standards, and</w:t>
      </w:r>
      <w:r>
        <w:t xml:space="preserve"> </w:t>
      </w:r>
      <w:hyperlink r:id="rId22">
        <w:r>
          <w:rPr>
            <w:rStyle w:val="Hyperlink"/>
          </w:rPr>
          <w:t xml:space="preserve">Issue C5</w:t>
        </w:r>
      </w:hyperlink>
      <w:r>
        <w:t xml:space="preserve"> </w:t>
      </w:r>
      <w:r>
        <w:t xml:space="preserve">§4.1 explains how such records affect security clearance cases.</w:t>
      </w:r>
    </w:p>
    <w:bookmarkEnd w:id="23"/>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h4-1.html" TargetMode="External"/><Relationship Id="rId22" Type="http://schemas.openxmlformats.org/officeDocument/2006/relationships/hyperlink" Target="https://nhilaw.com/issues/c5.html" TargetMode="External"/><Relationship Id="rId21" Type="http://schemas.openxmlformats.org/officeDocument/2006/relationships/hyperlink" Target="https://nhilaw.com/issues/h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h4-1.html" TargetMode="External"/><Relationship Id="rId22" Type="http://schemas.openxmlformats.org/officeDocument/2006/relationships/hyperlink" Target="https://nhilaw.com/issues/c5.html" TargetMode="External"/><Relationship Id="rId21" Type="http://schemas.openxmlformats.org/officeDocument/2006/relationships/hyperlink" Target="https://nhilaw.com/issues/h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H4-2. Letter to an Evaluator About a Client's UAP Experience, and Request to Amend a Health Record</dc:title>
  <dc:creator>nhilaw.com</dc:creator>
  <cp:keywords/>
  <dcterms:created xsi:type="dcterms:W3CDTF">2026-10-19T03:16:05Z</dcterms:created>
  <dcterms:modified xsi:type="dcterms:W3CDTF">2026-10-19T03:16:05Z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