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UFO and Abduction Reports Treated as Evidence of Mental Illness: How Courts, Counsel, and Evaluators Should Handle Them Now</w:t>
      </w:r>
    </w:p>
    <w:p>
      <w:pPr>
        <w:pStyle w:val="Subtitle"/>
      </w:pPr>
      <w:r>
        <w:t xml:space="preserve">Version 1.10 · October 2026 · nhilaw.com/issues/h4.html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pPr>
        <w:pStyle w:val="BodyText"/>
      </w:pPr>
      <w:r>
        <w:rPr>
          <w:bCs/>
          <w:b/>
        </w:rPr>
        <w:t xml:space="preserve">Question.</w:t>
      </w:r>
      <w:r>
        <w:t xml:space="preserve"> </w:t>
      </w:r>
      <w:r>
        <w:t xml:space="preserve">Courts, agencies, police, and clinicians have often treated a person’s report of seeing a UFO, of</w:t>
      </w:r>
      <w:r>
        <w:t xml:space="preserve"> </w:t>
      </w:r>
      <w:r>
        <w:t xml:space="preserve">contact, or of abduction as a sign of delusion, incompetence, or unreliability. Congress, the intelligence</w:t>
      </w:r>
      <w:r>
        <w:t xml:space="preserve"> </w:t>
      </w:r>
      <w:r>
        <w:t xml:space="preserve">community, and NASA now describe UAP as real objects that deserve study and identify stigma as an obstacle to</w:t>
      </w:r>
      <w:r>
        <w:t xml:space="preserve"> </w:t>
      </w:r>
      <w:r>
        <w:t xml:space="preserve">reporting them. How should such reports be handled in criminal cases, civil commitment, family law, benefits,</w:t>
      </w:r>
      <w:r>
        <w:t xml:space="preserve"> </w:t>
      </w:r>
      <w:r>
        <w:t xml:space="preserve">employment, security clearances, and witness credibility?</w:t>
      </w:r>
    </w:p>
    <w:p>
      <w:r>
        <w:pict>
          <v:rect style="width:0;height:1.5pt" o:hralign="center" o:hrstd="t" o:hr="t"/>
        </w:pict>
      </w:r>
    </w:p>
    <w:bookmarkStart w:id="21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In the reported cases, a UFO or abduction statement usually appears beside other evidence of illness: drug use,</w:t>
      </w:r>
      <w:r>
        <w:t xml:space="preserve"> </w:t>
      </w:r>
      <w:r>
        <w:t xml:space="preserve">violence, disorganized thinking, other fixed beliefs, or a clinical diagnosis. The decisions turn on that other</w:t>
      </w:r>
      <w:r>
        <w:t xml:space="preserve"> </w:t>
      </w:r>
      <w:r>
        <w:t xml:space="preserve">evidence. The risk for an experiencer is that the UFO content is read as the illness itself, or colors how</w:t>
      </w:r>
      <w:r>
        <w:t xml:space="preserve"> </w:t>
      </w:r>
      <w:r>
        <w:t xml:space="preserve">everything else is read.</w:t>
      </w:r>
    </w:p>
    <w:p>
      <w:pPr>
        <w:pStyle w:val="Compact"/>
        <w:numPr>
          <w:ilvl w:val="0"/>
          <w:numId w:val="1001"/>
        </w:numPr>
      </w:pPr>
      <w:r>
        <w:t xml:space="preserve">The best authority is</w:t>
      </w:r>
      <w:r>
        <w:t xml:space="preserve"> </w:t>
      </w:r>
      <w:r>
        <w:rPr>
          <w:iCs/>
          <w:i/>
        </w:rPr>
        <w:t xml:space="preserve">State v. Fichera</w:t>
      </w:r>
      <w:r>
        <w:t xml:space="preserve"> </w:t>
      </w:r>
      <w:r>
        <w:t xml:space="preserve">(N.H. 2006): a witness’s belief in UFOs and spirits could not be used to</w:t>
      </w:r>
      <w:r>
        <w:t xml:space="preserve"> </w:t>
      </w:r>
      <w:r>
        <w:t xml:space="preserve">impeach her as mentally ill without an evidentiary foundation that the beliefs were symptoms of an illness</w:t>
      </w:r>
      <w:r>
        <w:t xml:space="preserve"> </w:t>
      </w:r>
      <w:r>
        <w:t xml:space="preserve">affecting her ability to perceive and relate the truth. A Maryland appellate court followed the foundation rule in</w:t>
      </w:r>
      <w:r>
        <w:t xml:space="preserve"> </w:t>
      </w:r>
      <w:r>
        <w:t xml:space="preserve">2026.</w:t>
      </w:r>
    </w:p>
    <w:p>
      <w:pPr>
        <w:pStyle w:val="Compact"/>
        <w:numPr>
          <w:ilvl w:val="0"/>
          <w:numId w:val="1001"/>
        </w:numPr>
      </w:pPr>
      <w:r>
        <w:t xml:space="preserve">The clinical definition of a delusion excludes a belief ordinarily accepted by others in the person’s culture or</w:t>
      </w:r>
      <w:r>
        <w:t xml:space="preserve"> </w:t>
      </w:r>
      <w:r>
        <w:t xml:space="preserve">subculture. Official statements since 2021 that UAP are real and that stigma has suppressed reports move a</w:t>
      </w:r>
      <w:r>
        <w:t xml:space="preserve"> </w:t>
      </w:r>
      <w:r>
        <w:t xml:space="preserve">sincere report of a sighting, and belief that NHI exist, toward ordinary belief.</w:t>
      </w:r>
    </w:p>
    <w:p>
      <w:pPr>
        <w:pStyle w:val="Compact"/>
        <w:numPr>
          <w:ilvl w:val="0"/>
          <w:numId w:val="1001"/>
        </w:numPr>
      </w:pPr>
      <w:r>
        <w:t xml:space="preserve">Courts should require the same foundation in every setting: competency, commitment, custody, and benefits</w:t>
      </w:r>
      <w:r>
        <w:t xml:space="preserve"> </w:t>
      </w:r>
      <w:r>
        <w:t xml:space="preserve">decisions should rest on evidence of impaired functioning, danger, or harm, and the content of an unusual</w:t>
      </w:r>
      <w:r>
        <w:t xml:space="preserve"> </w:t>
      </w:r>
      <w:r>
        <w:t xml:space="preserve">experience should not substitute for that evidence.</w:t>
      </w:r>
    </w:p>
    <w:p>
      <w:pPr>
        <w:pStyle w:val="Compact"/>
        <w:numPr>
          <w:ilvl w:val="0"/>
          <w:numId w:val="1001"/>
        </w:numPr>
      </w:pPr>
      <w:r>
        <w:t xml:space="preserve">Custody law already applies this rule to religious belief, which counts only on proof of harm to the child; where</w:t>
      </w:r>
      <w:r>
        <w:t xml:space="preserve"> </w:t>
      </w:r>
      <w:r>
        <w:t xml:space="preserve">an experiencer’s beliefs are religious or spiritual, strict scrutiny can apply (</w:t>
      </w:r>
      <w:r>
        <w:rPr>
          <w:iCs/>
          <w:i/>
        </w:rPr>
        <w:t xml:space="preserve">Kingston v. Kingston</w:t>
      </w:r>
      <w:r>
        <w:t xml:space="preserve">, Utah 2022).</w:t>
      </w:r>
    </w:p>
    <w:p>
      <w:pPr>
        <w:pStyle w:val="Compact"/>
        <w:numPr>
          <w:ilvl w:val="0"/>
          <w:numId w:val="1001"/>
        </w:numPr>
      </w:pPr>
      <w:r>
        <w:t xml:space="preserve">A lawyer who ridicules a client’s account can destroy the relationship; in</w:t>
      </w:r>
      <w:r>
        <w:t xml:space="preserve"> </w:t>
      </w:r>
      <w:r>
        <w:rPr>
          <w:iCs/>
          <w:i/>
        </w:rPr>
        <w:t xml:space="preserve">State v. Moody</w:t>
      </w:r>
      <w:r>
        <w:t xml:space="preserve"> </w:t>
      </w:r>
      <w:r>
        <w:t xml:space="preserve">(Ariz. 1998) counsel</w:t>
      </w:r>
      <w:r>
        <w:t xml:space="preserve"> </w:t>
      </w:r>
      <w:r>
        <w:t xml:space="preserve">called his client</w:t>
      </w:r>
      <w:r>
        <w:t xml:space="preserve"> </w:t>
      </w:r>
      <w:r>
        <w:t xml:space="preserve">“</w:t>
      </w:r>
      <w:r>
        <w:t xml:space="preserve">crazy</w:t>
      </w:r>
      <w:r>
        <w:t xml:space="preserve">”</w:t>
      </w:r>
      <w:r>
        <w:t xml:space="preserve"> </w:t>
      </w:r>
      <w:r>
        <w:t xml:space="preserve">for an alien-control claim, and the resulting breakdown contributed to reversal.</w:t>
      </w:r>
    </w:p>
    <w:p>
      <w:pPr>
        <w:pStyle w:val="Compact"/>
        <w:numPr>
          <w:ilvl w:val="0"/>
          <w:numId w:val="1001"/>
        </w:numPr>
      </w:pPr>
      <w:r>
        <w:t xml:space="preserve">Records that label a report as a delusion can be challenged through HIPAA amendment requests, statements of</w:t>
      </w:r>
      <w:r>
        <w:t xml:space="preserve"> </w:t>
      </w:r>
      <w:r>
        <w:t xml:space="preserve">disagreement, and Privacy Act amendment for federal records.</w:t>
      </w:r>
    </w:p>
    <w:p>
      <w:r>
        <w:pict>
          <v:rect style="width:0;height:1.5pt" o:hralign="center" o:hrstd="t" o:hr="t"/>
        </w:pict>
      </w:r>
    </w:p>
    <w:bookmarkEnd w:id="21"/>
    <w:bookmarkStart w:id="23" w:name="the-case-law"/>
    <w:p>
      <w:pPr>
        <w:pStyle w:val="Heading2"/>
      </w:pPr>
      <w:r>
        <w:t xml:space="preserve">1. The case law</w:t>
      </w:r>
    </w:p>
    <w:p>
      <w:pPr>
        <w:pStyle w:val="FirstParagraph"/>
      </w:pPr>
      <w:r>
        <w:t xml:space="preserve">A Westlaw survey in October 2026 found no reported case that treats an abduction by NHI as fact. The cases fall</w:t>
      </w:r>
      <w:r>
        <w:t xml:space="preserve"> </w:t>
      </w:r>
      <w:r>
        <w:t xml:space="preserve">into six groups.</w:t>
      </w:r>
    </w:p>
    <w:p>
      <w:pPr>
        <w:pStyle w:val="BodyText"/>
      </w:pPr>
      <w:r>
        <w:rPr>
          <w:bCs/>
          <w:b/>
        </w:rPr>
        <w:t xml:space="preserve">The stock example of the incredible.</w:t>
      </w:r>
      <w:r>
        <w:t xml:space="preserve"> </w:t>
      </w:r>
      <w:r>
        <w:t xml:space="preserve">Courts use abduction by a UFO as their example of an unbelievable claim</w:t>
      </w:r>
      <w:r>
        <w:t xml:space="preserve"> </w:t>
      </w:r>
      <w:r>
        <w:t xml:space="preserve">(</w:t>
      </w:r>
      <w:r>
        <w:rPr>
          <w:iCs/>
          <w:i/>
        </w:rPr>
        <w:t xml:space="preserve">Bartley v. Euclid, Inc.</w:t>
      </w:r>
      <w:r>
        <w:t xml:space="preserve">, 158 F.3d 261 (5th Cir. 1998), vacated on reh’g en banc, 169 F.3d 215 (5th Cir.</w:t>
      </w:r>
      <w:r>
        <w:t xml:space="preserve"> </w:t>
      </w:r>
      <w:r>
        <w:t xml:space="preserve">1999);</w:t>
      </w:r>
      <w:r>
        <w:t xml:space="preserve"> </w:t>
      </w:r>
      <w:r>
        <w:rPr>
          <w:iCs/>
          <w:i/>
        </w:rPr>
        <w:t xml:space="preserve">California Federal Bank v. United States</w:t>
      </w:r>
      <w:r>
        <w:t xml:space="preserve">, 39 Fed. Cl. 753 (1997), rev’d in part on other grounds sub nom.</w:t>
      </w:r>
      <w:r>
        <w:t xml:space="preserve"> </w:t>
      </w:r>
      <w:r>
        <w:rPr>
          <w:iCs/>
          <w:i/>
        </w:rPr>
        <w:t xml:space="preserve">Suess v. United States</w:t>
      </w:r>
      <w:r>
        <w:t xml:space="preserve">, 535 F.3d 1348 (Fed. Cir. 2008)). Both remarks remain useful as illustrations, but neither</w:t>
      </w:r>
      <w:r>
        <w:t xml:space="preserve"> </w:t>
      </w:r>
      <w:r>
        <w:t xml:space="preserve">opinion is precedent for its remark about UFOs. Kansas appellate courts have tolerated prosecutors’</w:t>
      </w:r>
      <w:r>
        <w:t xml:space="preserve"> </w:t>
      </w:r>
      <w:r>
        <w:t xml:space="preserve">“</w:t>
      </w:r>
      <w:r>
        <w:t xml:space="preserve">abducted by a UFO</w:t>
      </w:r>
      <w:r>
        <w:t xml:space="preserve">”</w:t>
      </w:r>
      <w:r>
        <w:t xml:space="preserve"> </w:t>
      </w:r>
      <w:r>
        <w:t xml:space="preserve">sarcasm in argument and voir</w:t>
      </w:r>
      <w:r>
        <w:t xml:space="preserve"> </w:t>
      </w:r>
      <w:r>
        <w:t xml:space="preserve">dire (</w:t>
      </w:r>
      <w:r>
        <w:rPr>
          <w:iCs/>
          <w:i/>
        </w:rPr>
        <w:t xml:space="preserve">State v. Foster</w:t>
      </w:r>
      <w:r>
        <w:t xml:space="preserve">, 60 Kan. App. 2d 243, 493 P.3d 283 (2021);</w:t>
      </w:r>
      <w:r>
        <w:t xml:space="preserve"> </w:t>
      </w:r>
      <w:r>
        <w:rPr>
          <w:iCs/>
          <w:i/>
        </w:rPr>
        <w:t xml:space="preserve">State v. Longoria</w:t>
      </w:r>
      <w:r>
        <w:t xml:space="preserve">, 301 Kan. 489, 343 P.3d 1128</w:t>
      </w:r>
      <w:r>
        <w:t xml:space="preserve"> </w:t>
      </w:r>
      <w:r>
        <w:t xml:space="preserve">(2015)).</w:t>
      </w:r>
    </w:p>
    <w:p>
      <w:pPr>
        <w:pStyle w:val="BodyText"/>
      </w:pPr>
      <w:r>
        <w:rPr>
          <w:bCs/>
          <w:b/>
        </w:rPr>
        <w:t xml:space="preserve">Witness credibility.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State v. Fichera</w:t>
      </w:r>
      <w:r>
        <w:t xml:space="preserve">, 153 N.H. 588, 903 A.2d 1030 (2006), the defense in an</w:t>
      </w:r>
      <w:r>
        <w:t xml:space="preserve"> </w:t>
      </w:r>
      <w:r>
        <w:t xml:space="preserve">attempted-murder trial sought to cross-examine the victim about a past bipolar diagnosis and her</w:t>
      </w:r>
      <w:r>
        <w:t xml:space="preserve"> </w:t>
      </w:r>
      <w:r>
        <w:t xml:space="preserve">“</w:t>
      </w:r>
      <w:r>
        <w:t xml:space="preserve">unusual beliefs</w:t>
      </w:r>
      <w:r>
        <w:t xml:space="preserve">”</w:t>
      </w:r>
      <w:r>
        <w:t xml:space="preserve">:</w:t>
      </w:r>
      <w:r>
        <w:t xml:space="preserve"> </w:t>
      </w:r>
      <w:r>
        <w:t xml:space="preserve">she believed in UFOs, believed she had shamanic powers, and heard spirits. The trial judge observed that the</w:t>
      </w:r>
      <w:r>
        <w:t xml:space="preserve"> </w:t>
      </w:r>
      <w:r>
        <w:t xml:space="preserve">beliefs</w:t>
      </w:r>
      <w:r>
        <w:t xml:space="preserve"> </w:t>
      </w:r>
      <w:r>
        <w:t xml:space="preserve">“</w:t>
      </w:r>
      <w:r>
        <w:t xml:space="preserve">don’t really go to mental illness.</w:t>
      </w:r>
      <w:r>
        <w:t xml:space="preserve">”</w:t>
      </w:r>
      <w:r>
        <w:t xml:space="preserve"> </w:t>
      </w:r>
      <w:r>
        <w:t xml:space="preserve">The New Hampshire Supreme Court affirmed the limits on</w:t>
      </w:r>
      <w:r>
        <w:t xml:space="preserve"> </w:t>
      </w:r>
      <w:r>
        <w:t xml:space="preserve">cross-examination. A witness’s mental condition is a proper subject of impeachment only on an evidentiary</w:t>
      </w:r>
      <w:r>
        <w:t xml:space="preserve"> </w:t>
      </w:r>
      <w:r>
        <w:t xml:space="preserve">foundation that the condition affected the witness’s ability to comprehend, know, and correctly relate the truth,</w:t>
      </w:r>
      <w:r>
        <w:t xml:space="preserve"> </w:t>
      </w:r>
      <w:r>
        <w:t xml:space="preserve">and the offer of proof did not show that the beliefs were symptoms of an illness causing her to lie or</w:t>
      </w:r>
      <w:r>
        <w:t xml:space="preserve"> </w:t>
      </w:r>
      <w:r>
        <w:t xml:space="preserve">hallucinate.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at 597-601, 903 A.2d at 1037-41. The court reached the same result under the Confrontation</w:t>
      </w:r>
      <w:r>
        <w:t xml:space="preserve"> </w:t>
      </w:r>
      <w:r>
        <w:t xml:space="preserve">Clause.</w:t>
      </w:r>
      <w:r>
        <w:t xml:space="preserve"> </w:t>
      </w:r>
      <w:r>
        <w:rPr>
          <w:iCs/>
          <w:i/>
        </w:rPr>
        <w:t xml:space="preserve">Nensala v. State</w:t>
      </w:r>
      <w:r>
        <w:t xml:space="preserve">, 268 Md. App. 519, 351 A.3d 86 (2026), followed the foundation rule for a witness’s</w:t>
      </w:r>
      <w:r>
        <w:t xml:space="preserve"> </w:t>
      </w:r>
      <w:r>
        <w:t xml:space="preserve">bipolar diagnosis. In other cases a party’s UFO beliefs were explored at trial without a ruling on their</w:t>
      </w:r>
      <w:r>
        <w:t xml:space="preserve"> </w:t>
      </w:r>
      <w:r>
        <w:t xml:space="preserve">admissibility (</w:t>
      </w:r>
      <w:r>
        <w:rPr>
          <w:iCs/>
          <w:i/>
        </w:rPr>
        <w:t xml:space="preserve">Parks v. City of Horseshoe Bend</w:t>
      </w:r>
      <w:r>
        <w:t xml:space="preserve">, 480 F.3d 837 (8th Cir. 2007)).</w:t>
      </w:r>
    </w:p>
    <w:p>
      <w:pPr>
        <w:pStyle w:val="BodyText"/>
      </w:pPr>
      <w:r>
        <w:rPr>
          <w:bCs/>
          <w:b/>
        </w:rPr>
        <w:t xml:space="preserve">Defendants: mental state, competency, and counsel.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State v. Moody</w:t>
      </w:r>
      <w:r>
        <w:t xml:space="preserve">, 192 Ariz. 505, 968 P.2d 578 (1998), a</w:t>
      </w:r>
      <w:r>
        <w:t xml:space="preserve"> </w:t>
      </w:r>
      <w:r>
        <w:t xml:space="preserve">capital defendant claimed that space aliens controlled his body during the killings. His appointed lawyer called</w:t>
      </w:r>
      <w:r>
        <w:t xml:space="preserve"> </w:t>
      </w:r>
      <w:r>
        <w:t xml:space="preserve">him</w:t>
      </w:r>
      <w:r>
        <w:t xml:space="preserve"> </w:t>
      </w:r>
      <w:r>
        <w:t xml:space="preserve">“</w:t>
      </w:r>
      <w:r>
        <w:t xml:space="preserve">crazy,</w:t>
      </w:r>
      <w:r>
        <w:t xml:space="preserve">”</w:t>
      </w:r>
      <w:r>
        <w:t xml:space="preserve"> </w:t>
      </w:r>
      <w:r>
        <w:t xml:space="preserve">to his face and to the press. The Arizona Supreme Court held that the conflict was irreconcilable and</w:t>
      </w:r>
      <w:r>
        <w:t xml:space="preserve"> </w:t>
      </w:r>
      <w:r>
        <w:t xml:space="preserve">required new counsel, and that his waiver of counsel was not voluntary.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¶¶ 13-19. It also held that the</w:t>
      </w:r>
      <w:r>
        <w:t xml:space="preserve"> </w:t>
      </w:r>
      <w:r>
        <w:t xml:space="preserve">alien-control defense was properly rejected as a matter of law.</w:t>
      </w:r>
      <w:r>
        <w:t xml:space="preserve"> </w:t>
      </w:r>
      <w:r>
        <w:rPr>
          <w:iCs/>
          <w:i/>
        </w:rPr>
        <w:t xml:space="preserve">Id.</w:t>
      </w:r>
      <w:r>
        <w:t xml:space="preserve"> </w:t>
      </w:r>
      <w:r>
        <w:t xml:space="preserve">¶¶ 25-26. In</w:t>
      </w:r>
      <w:r>
        <w:t xml:space="preserve"> </w:t>
      </w:r>
      <w:r>
        <w:rPr>
          <w:iCs/>
          <w:i/>
        </w:rPr>
        <w:t xml:space="preserve">People v. Kelley</w:t>
      </w:r>
      <w:r>
        <w:t xml:space="preserve">, 2002 WL 501651 (Cal. Ct. App. 2002) (unpublished; not citable in California courts, Cal. R.</w:t>
      </w:r>
      <w:r>
        <w:t xml:space="preserve"> </w:t>
      </w:r>
      <w:r>
        <w:t xml:space="preserve">Ct. 8.1115(a)), an evaluator concluded that the defendant’s talk of UFOs, abductions, and the</w:t>
      </w:r>
      <w:r>
        <w:t xml:space="preserve"> </w:t>
      </w:r>
      <w:r>
        <w:t xml:space="preserve">paranormal reflected an interest in unusual subjects and showed no delusion or psychosis. In</w:t>
      </w:r>
      <w:r>
        <w:t xml:space="preserve"> </w:t>
      </w:r>
      <w:r>
        <w:rPr>
          <w:iCs/>
          <w:i/>
        </w:rPr>
        <w:t xml:space="preserve">State v. Rice</w:t>
      </w:r>
      <w:r>
        <w:t xml:space="preserve">, 110 Wash. 2d 577, 757 P.2d 889 (1988) (later history on unrelated issues: habeas relief granted,</w:t>
      </w:r>
      <w:r>
        <w:t xml:space="preserve"> </w:t>
      </w:r>
      <w:r>
        <w:rPr>
          <w:iCs/>
          <w:i/>
        </w:rPr>
        <w:t xml:space="preserve">Rice v. Wood</w:t>
      </w:r>
      <w:r>
        <w:t xml:space="preserve">, 44 F.3d 1396 (9th Cir. 1995), vacated in part on reh’g en banc, 77 F.3d 1138 (9th Cir. 1996)), the defendant’s belief system was described as coherent except for the</w:t>
      </w:r>
      <w:r>
        <w:t xml:space="preserve"> </w:t>
      </w:r>
      <w:r>
        <w:t xml:space="preserve">extraterrestrial communication.</w:t>
      </w:r>
    </w:p>
    <w:p>
      <w:pPr>
        <w:pStyle w:val="BodyText"/>
      </w:pPr>
      <w:r>
        <w:rPr>
          <w:bCs/>
          <w:b/>
        </w:rPr>
        <w:t xml:space="preserve">Commitment, forced medication, and benefits.</w:t>
      </w:r>
      <w:r>
        <w:t xml:space="preserve"> </w:t>
      </w:r>
      <w:r>
        <w:t xml:space="preserve">Statements about flying saucers appear among the listed delusions</w:t>
      </w:r>
      <w:r>
        <w:t xml:space="preserve"> </w:t>
      </w:r>
      <w:r>
        <w:t xml:space="preserve">in commitment and medication cases that rest on broader evidence of illness and danger (</w:t>
      </w:r>
      <w:r>
        <w:rPr>
          <w:iCs/>
          <w:i/>
        </w:rPr>
        <w:t xml:space="preserve">In re B.D.K.</w:t>
      </w:r>
      <w:r>
        <w:t xml:space="preserve">, 2007 ND 186,</w:t>
      </w:r>
      <w:r>
        <w:t xml:space="preserve"> </w:t>
      </w:r>
      <w:r>
        <w:t xml:space="preserve">742 N.W.2d 41;</w:t>
      </w:r>
      <w:r>
        <w:t xml:space="preserve"> </w:t>
      </w:r>
      <w:r>
        <w:rPr>
          <w:iCs/>
          <w:i/>
        </w:rPr>
        <w:t xml:space="preserve">Batts v. Boganoff</w:t>
      </w:r>
      <w:r>
        <w:t xml:space="preserve">, 2005 WL 3543774 (D. Conn. 2005)), and in VA and Social Security records (</w:t>
      </w:r>
      <w:r>
        <w:rPr>
          <w:iCs/>
          <w:i/>
        </w:rPr>
        <w:t xml:space="preserve">Davis v.</w:t>
      </w:r>
      <w:r>
        <w:rPr>
          <w:iCs/>
          <w:i/>
        </w:rPr>
        <w:t xml:space="preserve"> </w:t>
      </w:r>
      <w:r>
        <w:rPr>
          <w:iCs/>
          <w:i/>
        </w:rPr>
        <w:t xml:space="preserve">Principi</w:t>
      </w:r>
      <w:r>
        <w:t xml:space="preserve">, 276 F.3d 1341 (Fed. Cir. 2002);</w:t>
      </w:r>
      <w:r>
        <w:t xml:space="preserve"> </w:t>
      </w:r>
      <w:r>
        <w:rPr>
          <w:iCs/>
          <w:i/>
        </w:rPr>
        <w:t xml:space="preserve">G.B. v. Lackner</w:t>
      </w:r>
      <w:r>
        <w:t xml:space="preserve">, 80 Cal. App. 3d 64 (1978)).</w:t>
      </w:r>
    </w:p>
    <w:p>
      <w:pPr>
        <w:pStyle w:val="BodyText"/>
      </w:pPr>
      <w:r>
        <w:rPr>
          <w:bCs/>
          <w:b/>
        </w:rPr>
        <w:t xml:space="preserve">Family law.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In re F.P.</w:t>
      </w:r>
      <w:r>
        <w:t xml:space="preserve">, 61 Cal. App. 5th 966 (2021), police took a child into protective custody after the</w:t>
      </w:r>
      <w:r>
        <w:t xml:space="preserve"> </w:t>
      </w:r>
      <w:r>
        <w:t xml:space="preserve">mother appeared paranoid and said she saw UFOs; the dependency findings also rested on physical abuse and suicide</w:t>
      </w:r>
      <w:r>
        <w:t xml:space="preserve"> </w:t>
      </w:r>
      <w:r>
        <w:t xml:space="preserve">threats. Other custody and termination cases mention UFO beliefs alongside conduct that harmed or endangered the</w:t>
      </w:r>
      <w:r>
        <w:t xml:space="preserve"> </w:t>
      </w:r>
      <w:r>
        <w:t xml:space="preserve">child.</w:t>
      </w:r>
    </w:p>
    <w:p>
      <w:pPr>
        <w:pStyle w:val="BodyText"/>
      </w:pPr>
      <w:r>
        <w:rPr>
          <w:bCs/>
          <w:b/>
        </w:rPr>
        <w:t xml:space="preserve">Claims of covert government harm screened out as frivolous.</w:t>
      </w:r>
      <w:r>
        <w:t xml:space="preserve"> </w:t>
      </w:r>
      <w:r>
        <w:t xml:space="preserve">Courts dismiss complaints by people who describe</w:t>
      </w:r>
      <w:r>
        <w:t xml:space="preserve"> </w:t>
      </w:r>
      <w:r>
        <w:t xml:space="preserve">themselves as targets of covert government surveillance and harassment (</w:t>
      </w:r>
      <w:r>
        <w:rPr>
          <w:iCs/>
          <w:i/>
        </w:rPr>
        <w:t xml:space="preserve">Targeted Justice, Inc. v. Garland</w:t>
      </w:r>
      <w:r>
        <w:t xml:space="preserve">, 2023 WL</w:t>
      </w:r>
      <w:r>
        <w:t xml:space="preserve"> </w:t>
      </w:r>
      <w:r>
        <w:t xml:space="preserve">4471553 (S.D. Tex. 2023)). Complaints alleging injury from MKULTRA have been dismissed at the screening stage</w:t>
      </w:r>
      <w:r>
        <w:t xml:space="preserve"> </w:t>
      </w:r>
      <w:r>
        <w:t xml:space="preserve">(</w:t>
      </w:r>
      <w:r>
        <w:rPr>
          <w:iCs/>
          <w:i/>
        </w:rPr>
        <w:t xml:space="preserve">Mander v. CIA</w:t>
      </w:r>
      <w:r>
        <w:t xml:space="preserve">, 2024 WL 2114301 (E.D. Pa. 2024);</w:t>
      </w:r>
      <w:r>
        <w:t xml:space="preserve"> </w:t>
      </w:r>
      <w:r>
        <w:rPr>
          <w:iCs/>
          <w:i/>
        </w:rPr>
        <w:t xml:space="preserve">Jankowski v. CIA</w:t>
      </w:r>
      <w:r>
        <w:t xml:space="preserve">, 2024 WL 5077740 (D. Neb. 2024)), although the</w:t>
      </w:r>
      <w:r>
        <w:t xml:space="preserve"> </w:t>
      </w:r>
      <w:r>
        <w:t xml:space="preserve">government has admitted that MKULTRA dosed people without their knowledge (</w:t>
      </w:r>
      <w:hyperlink r:id="rId22">
        <w:r>
          <w:rPr>
            <w:rStyle w:val="Hyperlink"/>
          </w:rPr>
          <w:t xml:space="preserve">Issue H2</w:t>
        </w:r>
      </w:hyperlink>
      <w:r>
        <w:t xml:space="preserve"> </w:t>
      </w:r>
      <w:r>
        <w:t xml:space="preserve">§2). A careful complaint</w:t>
      </w:r>
      <w:r>
        <w:t xml:space="preserve"> </w:t>
      </w:r>
      <w:r>
        <w:t xml:space="preserve">separates the documented facts from inference and leads with the documents.</w:t>
      </w:r>
    </w:p>
    <w:p>
      <w:r>
        <w:pict>
          <v:rect style="width:0;height:1.5pt" o:hralign="center" o:hrstd="t" o:hr="t"/>
        </w:pict>
      </w:r>
    </w:p>
    <w:bookmarkEnd w:id="23"/>
    <w:bookmarkStart w:id="24" w:name="the-official-record-since-2021"/>
    <w:p>
      <w:pPr>
        <w:pStyle w:val="Heading2"/>
      </w:pPr>
      <w:r>
        <w:t xml:space="preserve">2. The official record since 2021</w:t>
      </w:r>
    </w:p>
    <w:p>
      <w:pPr>
        <w:pStyle w:val="FirstParagraph"/>
      </w:pPr>
      <w:r>
        <w:t xml:space="preserve">The intelligence community, Congress, and NASA have each described stigma as a cause of underreporting.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w:r>
        <w:t xml:space="preserve">Sociocultural stigmas and sensor limitations remain obstacles to collecting data on UAP.</w:t>
      </w:r>
      <w:r>
        <w:t xml:space="preserve">”</w:t>
      </w:r>
      <w:r>
        <w:t xml:space="preserve"> </w:t>
      </w:r>
      <w:r>
        <w:t xml:space="preserve">Aviators and analysts</w:t>
      </w:r>
      <w:r>
        <w:t xml:space="preserve"> </w:t>
      </w:r>
      <w:r>
        <w:t xml:space="preserve">“</w:t>
      </w:r>
      <w:r>
        <w:t xml:space="preserve">describe disparagement associated with observing UAP, reporting it, or attempting to discuss it with</w:t>
      </w:r>
      <w:r>
        <w:t xml:space="preserve"> </w:t>
      </w:r>
      <w:r>
        <w:t xml:space="preserve">colleagues,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reputational risk may keep many observers silent.</w:t>
      </w:r>
      <w:r>
        <w:t xml:space="preserve">”</w:t>
      </w:r>
      <w:r>
        <w:t xml:space="preserve"> </w:t>
      </w:r>
      <w:r>
        <w:t xml:space="preserve">Office of the Director of National</w:t>
      </w:r>
      <w:r>
        <w:t xml:space="preserve"> </w:t>
      </w:r>
      <w:r>
        <w:t xml:space="preserve">Intelligence,</w:t>
      </w:r>
      <w:r>
        <w:t xml:space="preserve"> </w:t>
      </w:r>
      <w:r>
        <w:rPr>
          <w:iCs/>
          <w:i/>
        </w:rPr>
        <w:t xml:space="preserve">Preliminary Assessment: Unidentified Aerial Phenomena</w:t>
      </w:r>
      <w:r>
        <w:t xml:space="preserve"> </w:t>
      </w:r>
      <w:r>
        <w:t xml:space="preserve">4 (June 25, 2021).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w:r>
        <w:t xml:space="preserve">For too long the stigma associated with UAPs has gotten in the way of good intelligence analysis. Pilots avoided</w:t>
      </w:r>
      <w:r>
        <w:t xml:space="preserve"> </w:t>
      </w:r>
      <w:r>
        <w:t xml:space="preserve">reporting or were laughed at when they did.</w:t>
      </w:r>
      <w:r>
        <w:t xml:space="preserve">”</w:t>
      </w:r>
      <w:r>
        <w:t xml:space="preserve"> </w:t>
      </w:r>
      <w:r>
        <w:t xml:space="preserve">Rep. André Carson, Chairman, opening statement, hearing of the House</w:t>
      </w:r>
      <w:r>
        <w:t xml:space="preserve"> </w:t>
      </w:r>
      <w:r>
        <w:t xml:space="preserve">Permanent Select Committee on Intelligence, Subcommittee on Counterterrorism, Counterintelligence, and</w:t>
      </w:r>
      <w:r>
        <w:t xml:space="preserve"> </w:t>
      </w:r>
      <w:r>
        <w:t xml:space="preserve">Counterproliferation (May 17, 2022).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w:r>
        <w:t xml:space="preserve">[T]here remains a stigma attached to these phenomenon.</w:t>
      </w:r>
      <w:r>
        <w:t xml:space="preserve">”</w:t>
      </w:r>
      <w:r>
        <w:t xml:space="preserve"> </w:t>
      </w:r>
      <w:r>
        <w:t xml:space="preserve">Sen. Kirsten Gillibrand, Chair, opening statement,</w:t>
      </w:r>
      <w:r>
        <w:t xml:space="preserve"> </w:t>
      </w:r>
      <w:r>
        <w:t xml:space="preserve">hearing of the Senate Armed Services Subcommittee on Emerging Threats and Capabilities (Apr. 19, 2023).</w:t>
      </w:r>
    </w:p>
    <w:p>
      <w:pPr>
        <w:pStyle w:val="Compact"/>
        <w:numPr>
          <w:ilvl w:val="0"/>
          <w:numId w:val="1002"/>
        </w:numPr>
      </w:pPr>
      <w:r>
        <w:t xml:space="preserve">Whistleblowers</w:t>
      </w:r>
      <w:r>
        <w:t xml:space="preserve"> </w:t>
      </w:r>
      <w:r>
        <w:t xml:space="preserve">“</w:t>
      </w:r>
      <w:r>
        <w:t xml:space="preserve">suffer because of stigma, a code of silence, and concerns about retaliation.</w:t>
      </w:r>
      <w:r>
        <w:t xml:space="preserve">”</w:t>
      </w:r>
      <w:r>
        <w:t xml:space="preserve"> </w:t>
      </w:r>
      <w:r>
        <w:t xml:space="preserve">Statement of Luis</w:t>
      </w:r>
      <w:r>
        <w:t xml:space="preserve"> </w:t>
      </w:r>
      <w:r>
        <w:t xml:space="preserve">Elizondo; and</w:t>
      </w:r>
      <w:r>
        <w:t xml:space="preserve"> </w:t>
      </w:r>
      <w:r>
        <w:t xml:space="preserve">“</w:t>
      </w:r>
      <w:r>
        <w:t xml:space="preserve">[t]he stigma associated with UAP hampers the number of pilots that would report such phenomena.</w:t>
      </w:r>
      <w:r>
        <w:t xml:space="preserve">”</w:t>
      </w:r>
      <w:r>
        <w:t xml:space="preserve"> </w:t>
      </w:r>
      <w:r>
        <w:t xml:space="preserve">Statement of Michael Gold, member of NASA’s UAP independent study team.</w:t>
      </w:r>
      <w:r>
        <w:t xml:space="preserve"> </w:t>
      </w:r>
      <w:r>
        <w:rPr>
          <w:iCs/>
          <w:i/>
        </w:rPr>
        <w:t xml:space="preserve">Unidentified Anomalous Phenomena: Exposing</w:t>
      </w:r>
      <w:r>
        <w:rPr>
          <w:iCs/>
          <w:i/>
        </w:rPr>
        <w:t xml:space="preserve"> </w:t>
      </w:r>
      <w:r>
        <w:rPr>
          <w:iCs/>
          <w:i/>
        </w:rPr>
        <w:t xml:space="preserve">the Truth</w:t>
      </w:r>
      <w:r>
        <w:t xml:space="preserve">, joint hearing of House Oversight subcommittees (Nov. 13, 2024).</w:t>
      </w:r>
    </w:p>
    <w:p>
      <w:pPr>
        <w:pStyle w:val="Compact"/>
        <w:numPr>
          <w:ilvl w:val="0"/>
          <w:numId w:val="1002"/>
        </w:numPr>
      </w:pPr>
      <w:r>
        <w:t xml:space="preserve">Congress established reporting channels and protections for people who report UAP and related programs. 50 U.S.C.</w:t>
      </w:r>
      <w:r>
        <w:t xml:space="preserve"> </w:t>
      </w:r>
      <w:r>
        <w:t xml:space="preserve">§§3373, 3373b (Issues A3 and C1).</w:t>
      </w:r>
    </w:p>
    <w:p>
      <w:pPr>
        <w:pStyle w:val="FirstParagraph"/>
      </w:pPr>
      <w:r>
        <w:t xml:space="preserve">These statements concern sightings by pilots and service members. They do not say that abductions occur. They do</w:t>
      </w:r>
      <w:r>
        <w:t xml:space="preserve"> </w:t>
      </w:r>
      <w:r>
        <w:t xml:space="preserve">establish that a report of an unexplained aerial object is the kind of report credible people make, that the</w:t>
      </w:r>
      <w:r>
        <w:t xml:space="preserve"> </w:t>
      </w:r>
      <w:r>
        <w:t xml:space="preserve">government now asks for such reports, and that ridicule of reporters is a recognized problem.</w:t>
      </w:r>
    </w:p>
    <w:p>
      <w:r>
        <w:pict>
          <v:rect style="width:0;height:1.5pt" o:hralign="center" o:hrstd="t" o:hr="t"/>
        </w:pict>
      </w:r>
    </w:p>
    <w:bookmarkEnd w:id="24"/>
    <w:bookmarkStart w:id="25" w:name="the-clinical-question"/>
    <w:p>
      <w:pPr>
        <w:pStyle w:val="Heading2"/>
      </w:pPr>
      <w:r>
        <w:t xml:space="preserve">3. The clinical question</w:t>
      </w:r>
    </w:p>
    <w:p>
      <w:pPr>
        <w:pStyle w:val="FirstParagraph"/>
      </w:pPr>
      <w:r>
        <w:t xml:space="preserve">The American Psychiatric Association’s glossary defines a delusion as a false belief based on incorrect inference</w:t>
      </w:r>
      <w:r>
        <w:t xml:space="preserve"> </w:t>
      </w:r>
      <w:r>
        <w:t xml:space="preserve">about external reality, firmly held despite what almost everyone else believes and despite clear evidence to the</w:t>
      </w:r>
      <w:r>
        <w:t xml:space="preserve"> </w:t>
      </w:r>
      <w:r>
        <w:t xml:space="preserve">contrary, and excludes a belief</w:t>
      </w:r>
      <w:r>
        <w:t xml:space="preserve"> </w:t>
      </w:r>
      <w:r>
        <w:t xml:space="preserve">“</w:t>
      </w:r>
      <w:r>
        <w:t xml:space="preserve">ordinarily accepted by other members of the person’s culture or subculture.</w:t>
      </w:r>
      <w:r>
        <w:t xml:space="preserve">”</w:t>
      </w:r>
      <w:r>
        <w:t xml:space="preserve"> </w:t>
      </w:r>
      <w:r>
        <w:t xml:space="preserve">American Psychiatric Association,</w:t>
      </w:r>
      <w:r>
        <w:t xml:space="preserve"> </w:t>
      </w:r>
      <w:r>
        <w:rPr>
          <w:iCs/>
          <w:i/>
        </w:rPr>
        <w:t xml:space="preserve">Diagnostic and Statistical Manual of Mental Disorders</w:t>
      </w:r>
      <w:r>
        <w:t xml:space="preserve"> </w:t>
      </w:r>
      <w:r>
        <w:t xml:space="preserve">(5th ed. 2013), Glossary</w:t>
      </w:r>
      <w:r>
        <w:t xml:space="preserve"> </w:t>
      </w:r>
      <w:r>
        <w:t xml:space="preserve">of Technical Terms. Belief that UAP exist, and that some are of nonhuman origin, is now held by large parts of the</w:t>
      </w:r>
      <w:r>
        <w:t xml:space="preserve"> </w:t>
      </w:r>
      <w:r>
        <w:t xml:space="preserve">public and is treated as a serious question by Congress. A report of a sighting cannot be classed as a delusion on</w:t>
      </w:r>
      <w:r>
        <w:t xml:space="preserve"> </w:t>
      </w:r>
      <w:r>
        <w:t xml:space="preserve">its content alone.</w:t>
      </w:r>
    </w:p>
    <w:p>
      <w:pPr>
        <w:pStyle w:val="BodyText"/>
      </w:pPr>
      <w:r>
        <w:t xml:space="preserve">Abduction reports are harder. The clinical literature on anomalous experiences describes sleep paralysis,</w:t>
      </w:r>
      <w:r>
        <w:t xml:space="preserve"> </w:t>
      </w:r>
      <w:r>
        <w:t xml:space="preserve">hypnopompic imagery, and false memory as explanations for many abduction accounts, and some patients with psychotic</w:t>
      </w:r>
      <w:r>
        <w:t xml:space="preserve"> </w:t>
      </w:r>
      <w:r>
        <w:t xml:space="preserve">disorders do describe alien control. The legally relevant question is the same in each case: does the person show</w:t>
      </w:r>
      <w:r>
        <w:t xml:space="preserve"> </w:t>
      </w:r>
      <w:r>
        <w:t xml:space="preserve">the features of a disorder (disorganized thinking, hallucinations in other settings, functional decline,</w:t>
      </w:r>
      <w:r>
        <w:t xml:space="preserve"> </w:t>
      </w:r>
      <w:r>
        <w:t xml:space="preserve">inability to consider alternatives, danger to self or others), or only an unusual experience reported by a person</w:t>
      </w:r>
      <w:r>
        <w:t xml:space="preserve"> </w:t>
      </w:r>
      <w:r>
        <w:t xml:space="preserve">who functions normally? An evaluator who records the content of the experience as the diagnosis, without that</w:t>
      </w:r>
      <w:r>
        <w:t xml:space="preserve"> </w:t>
      </w:r>
      <w:r>
        <w:t xml:space="preserve">inquiry, has given the court an opinion without a foundation.</w:t>
      </w:r>
    </w:p>
    <w:p>
      <w:r>
        <w:pict>
          <v:rect style="width:0;height:1.5pt" o:hralign="center" o:hrstd="t" o:hr="t"/>
        </w:pict>
      </w:r>
    </w:p>
    <w:bookmarkEnd w:id="25"/>
    <w:bookmarkStart w:id="36" w:name="X9d9f3b25f9fb976bda34436c1a15f419ec16041"/>
    <w:p>
      <w:pPr>
        <w:pStyle w:val="Heading2"/>
      </w:pPr>
      <w:r>
        <w:t xml:space="preserve">4. How each kind of proceeding should handle the report</w:t>
      </w:r>
    </w:p>
    <w:bookmarkStart w:id="26" w:name="witness-credibility"/>
    <w:p>
      <w:pPr>
        <w:pStyle w:val="Heading3"/>
      </w:pPr>
      <w:r>
        <w:t xml:space="preserve">4.1 Witness credibility</w:t>
      </w:r>
    </w:p>
    <w:p>
      <w:pPr>
        <w:pStyle w:val="FirstParagraph"/>
      </w:pPr>
      <w:r>
        <w:t xml:space="preserve">Apply</w:t>
      </w:r>
      <w:r>
        <w:t xml:space="preserve"> </w:t>
      </w:r>
      <w:r>
        <w:rPr>
          <w:iCs/>
          <w:i/>
        </w:rPr>
        <w:t xml:space="preserve">Fichera</w:t>
      </w:r>
      <w:r>
        <w:t xml:space="preserve">. A party who wants to cross-examine a witness about UFO or abduction experiences as evidence of</w:t>
      </w:r>
      <w:r>
        <w:t xml:space="preserve"> </w:t>
      </w:r>
      <w:r>
        <w:t xml:space="preserve">mental illness should be required to make an offer of proof, through a qualified expert, that the experience is a</w:t>
      </w:r>
      <w:r>
        <w:t xml:space="preserve"> </w:t>
      </w:r>
      <w:r>
        <w:t xml:space="preserve">symptom of a disorder that affects the witness’s perception or truthfulness. Without it, the evidence fails Federal</w:t>
      </w:r>
      <w:r>
        <w:t xml:space="preserve"> </w:t>
      </w:r>
      <w:r>
        <w:t xml:space="preserve">Rule of Evidence 403 and its state counterparts, and inquiry into character for truthfulness under Rule 608 does</w:t>
      </w:r>
      <w:r>
        <w:t xml:space="preserve"> </w:t>
      </w:r>
      <w:r>
        <w:t xml:space="preserve">not reach sincerely held beliefs. Rule 610 bars evidence of a witness’s religious beliefs to attack or support</w:t>
      </w:r>
      <w:r>
        <w:t xml:space="preserve"> </w:t>
      </w:r>
      <w:r>
        <w:t xml:space="preserve">credibility; where a witness’s beliefs about NHI are religious or spiritual, Rule 610 applies directly, and in other</w:t>
      </w:r>
      <w:r>
        <w:t xml:space="preserve"> </w:t>
      </w:r>
      <w:r>
        <w:t xml:space="preserve">cases its reasoning supports exclusion. Counsel should move in limine (§6) and object to argument that invites the</w:t>
      </w:r>
      <w:r>
        <w:t xml:space="preserve"> </w:t>
      </w:r>
      <w:r>
        <w:t xml:space="preserve">jury to discount a witness because of the subject matter of an experience.</w:t>
      </w:r>
    </w:p>
    <w:bookmarkEnd w:id="26"/>
    <w:bookmarkStart w:id="27" w:name="X3f588b9c76f2c250cb4c79f90b6a82405ab219a"/>
    <w:p>
      <w:pPr>
        <w:pStyle w:val="Heading3"/>
      </w:pPr>
      <w:r>
        <w:t xml:space="preserve">4.2 Competency, waiver of counsel, and forced medication</w:t>
      </w:r>
    </w:p>
    <w:p>
      <w:pPr>
        <w:pStyle w:val="FirstParagraph"/>
      </w:pPr>
      <w:r>
        <w:t xml:space="preserve">Competency asks whether the defendant has a rational and factual understanding of the proceedings and can consult</w:t>
      </w:r>
      <w:r>
        <w:t xml:space="preserve"> </w:t>
      </w:r>
      <w:r>
        <w:t xml:space="preserve">with counsel.</w:t>
      </w:r>
      <w:r>
        <w:t xml:space="preserve"> </w:t>
      </w:r>
      <w:r>
        <w:rPr>
          <w:iCs/>
          <w:i/>
        </w:rPr>
        <w:t xml:space="preserve">Dusky v. United States</w:t>
      </w:r>
      <w:r>
        <w:t xml:space="preserve">, 362 U.S. 402 (1960);</w:t>
      </w:r>
      <w:r>
        <w:t xml:space="preserve"> </w:t>
      </w:r>
      <w:r>
        <w:rPr>
          <w:iCs/>
          <w:i/>
        </w:rPr>
        <w:t xml:space="preserve">Drope v. Missouri</w:t>
      </w:r>
      <w:r>
        <w:t xml:space="preserve">, 420 U.S. 162 (1975). A defendant who</w:t>
      </w:r>
      <w:r>
        <w:t xml:space="preserve"> </w:t>
      </w:r>
      <w:r>
        <w:t xml:space="preserve">believes in UFOs, or reports an abduction, can satisfy both. States may require counsel for a defendant competent to</w:t>
      </w:r>
      <w:r>
        <w:t xml:space="preserve"> </w:t>
      </w:r>
      <w:r>
        <w:t xml:space="preserve">stand trial but not to conduct the defense.</w:t>
      </w:r>
      <w:r>
        <w:t xml:space="preserve"> </w:t>
      </w:r>
      <w:r>
        <w:rPr>
          <w:iCs/>
          <w:i/>
        </w:rPr>
        <w:t xml:space="preserve">Indiana v. Edwards</w:t>
      </w:r>
      <w:r>
        <w:t xml:space="preserve">, 554 U.S. 164 (2008). Involuntary medication to</w:t>
      </w:r>
      <w:r>
        <w:t xml:space="preserve"> </w:t>
      </w:r>
      <w:r>
        <w:t xml:space="preserve">restore competency requires the findings in</w:t>
      </w:r>
      <w:r>
        <w:t xml:space="preserve"> </w:t>
      </w:r>
      <w:r>
        <w:rPr>
          <w:iCs/>
          <w:i/>
        </w:rPr>
        <w:t xml:space="preserve">Sell v. United States</w:t>
      </w:r>
      <w:r>
        <w:t xml:space="preserve">, 539 U.S. 166 (2003). In each setting the</w:t>
      </w:r>
      <w:r>
        <w:t xml:space="preserve"> </w:t>
      </w:r>
      <w:r>
        <w:t xml:space="preserve">evaluator should address functional capacity.</w:t>
      </w:r>
      <w:r>
        <w:t xml:space="preserve"> </w:t>
      </w:r>
      <w:r>
        <w:rPr>
          <w:iCs/>
          <w:i/>
        </w:rPr>
        <w:t xml:space="preserve">Moody</w:t>
      </w:r>
      <w:r>
        <w:t xml:space="preserve"> </w:t>
      </w:r>
      <w:r>
        <w:t xml:space="preserve">adds a point for defense counsel: a client’s account must be</w:t>
      </w:r>
      <w:r>
        <w:t xml:space="preserve"> </w:t>
      </w:r>
      <w:r>
        <w:t xml:space="preserve">handled with respect even where it cannot be used as a defense, because ridicule can break the relationship</w:t>
      </w:r>
      <w:r>
        <w:t xml:space="preserve"> </w:t>
      </w:r>
      <w:r>
        <w:t xml:space="preserve">(Model Rule 1.14 and California Rule of Professional Conduct 1.14 govern clients with diminished capacity).</w:t>
      </w:r>
    </w:p>
    <w:bookmarkEnd w:id="27"/>
    <w:bookmarkStart w:id="28" w:name="civil-commitment"/>
    <w:p>
      <w:pPr>
        <w:pStyle w:val="Heading3"/>
      </w:pPr>
      <w:r>
        <w:t xml:space="preserve">4.3 Civil commitment</w:t>
      </w:r>
    </w:p>
    <w:p>
      <w:pPr>
        <w:pStyle w:val="FirstParagraph"/>
      </w:pPr>
      <w:r>
        <w:t xml:space="preserve">A state may not confine a nondangerous person who can live safely in freedom.</w:t>
      </w:r>
      <w:r>
        <w:t xml:space="preserve"> </w:t>
      </w:r>
      <w:r>
        <w:rPr>
          <w:iCs/>
          <w:i/>
        </w:rPr>
        <w:t xml:space="preserve">O’Connor v. Donaldson</w:t>
      </w:r>
      <w:r>
        <w:t xml:space="preserve">, 422 U.S. 563</w:t>
      </w:r>
      <w:r>
        <w:t xml:space="preserve"> </w:t>
      </w:r>
      <w:r>
        <w:t xml:space="preserve">(1975). Commitment requires clear and convincing evidence.</w:t>
      </w:r>
      <w:r>
        <w:t xml:space="preserve"> </w:t>
      </w:r>
      <w:r>
        <w:rPr>
          <w:iCs/>
          <w:i/>
        </w:rPr>
        <w:t xml:space="preserve">Addington v. Texas</w:t>
      </w:r>
      <w:r>
        <w:t xml:space="preserve">, 441 U.S. 418 (1979). A report of a</w:t>
      </w:r>
      <w:r>
        <w:t xml:space="preserve"> </w:t>
      </w:r>
      <w:r>
        <w:t xml:space="preserve">sighting or an abduction, without danger to self or others or inability to meet basic needs, does not meet those</w:t>
      </w:r>
      <w:r>
        <w:t xml:space="preserve"> </w:t>
      </w:r>
      <w:r>
        <w:t xml:space="preserve">standards. A federal firearms disability follows only an adjudication or involuntary commitment, 18 U.S.C.</w:t>
      </w:r>
      <w:r>
        <w:t xml:space="preserve"> </w:t>
      </w:r>
      <w:r>
        <w:t xml:space="preserve">§922(g)(4), which makes the commitment decision consequential beyond the hospital stay.</w:t>
      </w:r>
    </w:p>
    <w:bookmarkEnd w:id="28"/>
    <w:bookmarkStart w:id="29" w:name="custody-and-dependency"/>
    <w:p>
      <w:pPr>
        <w:pStyle w:val="Heading3"/>
      </w:pPr>
      <w:r>
        <w:t xml:space="preserve">4.4 Custody and dependency</w:t>
      </w:r>
    </w:p>
    <w:p>
      <w:pPr>
        <w:pStyle w:val="FirstParagraph"/>
      </w:pPr>
      <w:r>
        <w:t xml:space="preserve">Custody law asks about harm to the child. Courts consider a parent’s religious beliefs only on proof that the</w:t>
      </w:r>
      <w:r>
        <w:t xml:space="preserve"> </w:t>
      </w:r>
      <w:r>
        <w:t xml:space="preserve">beliefs or practices harm the child (</w:t>
      </w:r>
      <w:r>
        <w:rPr>
          <w:iCs/>
          <w:i/>
        </w:rPr>
        <w:t xml:space="preserve">Harrison v. Tauheed</w:t>
      </w:r>
      <w:r>
        <w:t xml:space="preserve">, 44 Kan. App. 2d 235, 235 P.3d 547 (2010);</w:t>
      </w:r>
      <w:r>
        <w:t xml:space="preserve"> </w:t>
      </w:r>
      <w:r>
        <w:rPr>
          <w:iCs/>
          <w:i/>
        </w:rPr>
        <w:t xml:space="preserve">Garrett v.</w:t>
      </w:r>
      <w:r>
        <w:rPr>
          <w:iCs/>
          <w:i/>
        </w:rPr>
        <w:t xml:space="preserve"> </w:t>
      </w:r>
      <w:r>
        <w:rPr>
          <w:iCs/>
          <w:i/>
        </w:rPr>
        <w:t xml:space="preserve">Garrett</w:t>
      </w:r>
      <w:r>
        <w:t xml:space="preserve">, 3 Neb. App. 384, 527 N.W.2d 213 (1995)). The Utah Supreme Court held that a parent’s right to encourage</w:t>
      </w:r>
      <w:r>
        <w:t xml:space="preserve"> </w:t>
      </w:r>
      <w:r>
        <w:t xml:space="preserve">children in religious practice survives an award of sole legal custody to the other parent and that restrictions on</w:t>
      </w:r>
      <w:r>
        <w:t xml:space="preserve"> </w:t>
      </w:r>
      <w:r>
        <w:t xml:space="preserve">it are reviewed under strict scrutiny.</w:t>
      </w:r>
      <w:r>
        <w:t xml:space="preserve"> </w:t>
      </w:r>
      <w:r>
        <w:rPr>
          <w:iCs/>
          <w:i/>
        </w:rPr>
        <w:t xml:space="preserve">Kingston v. Kingston</w:t>
      </w:r>
      <w:r>
        <w:t xml:space="preserve">, 2022 UT 43, ¶¶ 24-25, 532 P.3d 958. Courts may not</w:t>
      </w:r>
      <w:r>
        <w:t xml:space="preserve"> </w:t>
      </w:r>
      <w:r>
        <w:t xml:space="preserve">give effect to private biases in custody decisions.</w:t>
      </w:r>
      <w:r>
        <w:t xml:space="preserve"> </w:t>
      </w:r>
      <w:r>
        <w:rPr>
          <w:iCs/>
          <w:i/>
        </w:rPr>
        <w:t xml:space="preserve">Palmore v. Sidoti</w:t>
      </w:r>
      <w:r>
        <w:t xml:space="preserve">, 466 U.S. 429 (1984). A parent’s report of a</w:t>
      </w:r>
      <w:r>
        <w:t xml:space="preserve"> </w:t>
      </w:r>
      <w:r>
        <w:t xml:space="preserve">sighting or contact, or belief in NHI, should count only on evidence that it has led to conduct harming the child.</w:t>
      </w:r>
      <w:r>
        <w:t xml:space="preserve"> </w:t>
      </w:r>
      <w:r>
        <w:rPr>
          <w:iCs/>
          <w:i/>
        </w:rPr>
        <w:t xml:space="preserve">In re F.P.</w:t>
      </w:r>
      <w:r>
        <w:t xml:space="preserve"> </w:t>
      </w:r>
      <w:r>
        <w:t xml:space="preserve">shows the kind of additional evidence that supports intervention.</w:t>
      </w:r>
    </w:p>
    <w:bookmarkEnd w:id="29"/>
    <w:bookmarkStart w:id="32" w:name="benefits-and-employment"/>
    <w:p>
      <w:pPr>
        <w:pStyle w:val="Heading3"/>
      </w:pPr>
      <w:r>
        <w:t xml:space="preserve">4.5 Benefits and employment</w:t>
      </w:r>
    </w:p>
    <w:p>
      <w:pPr>
        <w:pStyle w:val="FirstParagraph"/>
      </w:pPr>
      <w:r>
        <w:t xml:space="preserve">Social Security evaluates psychotic disorders under listing 12.03 by functional limitations, 20 C.F.R. pt. 404,</w:t>
      </w:r>
      <w:r>
        <w:t xml:space="preserve"> </w:t>
      </w:r>
      <w:r>
        <w:t xml:space="preserve">subpt. P, app. 1, §12.03. An employer that treats an employee’s UAP report as a sign of mental illness may</w:t>
      </w:r>
      <w:r>
        <w:t xml:space="preserve"> </w:t>
      </w:r>
      <w:r>
        <w:t xml:space="preserve">“</w:t>
      </w:r>
      <w:r>
        <w:t xml:space="preserve">regard</w:t>
      </w:r>
      <w:r>
        <w:t xml:space="preserve">”</w:t>
      </w:r>
      <w:r>
        <w:t xml:space="preserve"> </w:t>
      </w:r>
      <w:r>
        <w:t xml:space="preserve">the employee as disabled under the ADA, 42 U.S.C. §12102(1)(C), (3)(A), and a medical examination of a current</w:t>
      </w:r>
      <w:r>
        <w:t xml:space="preserve"> </w:t>
      </w:r>
      <w:r>
        <w:t xml:space="preserve">employee must be job-related and consistent with business necessity, 29 C.F.R. §1630.14(c). Pilots face the aviation</w:t>
      </w:r>
      <w:r>
        <w:t xml:space="preserve"> </w:t>
      </w:r>
      <w:r>
        <w:t xml:space="preserve">medical standards discussed in</w:t>
      </w:r>
      <w:r>
        <w:t xml:space="preserve"> </w:t>
      </w:r>
      <w:hyperlink r:id="rId30">
        <w:r>
          <w:rPr>
            <w:rStyle w:val="Hyperlink"/>
          </w:rPr>
          <w:t xml:space="preserve">Issue D7</w:t>
        </w:r>
      </w:hyperlink>
      <w:r>
        <w:t xml:space="preserve">, and cleared employees face the Guideline I analysis in</w:t>
      </w:r>
      <w:r>
        <w:t xml:space="preserve"> </w:t>
      </w:r>
      <w:hyperlink r:id="rId31">
        <w:r>
          <w:rPr>
            <w:rStyle w:val="Hyperlink"/>
          </w:rPr>
          <w:t xml:space="preserve">Issue C5</w:t>
        </w:r>
      </w:hyperlink>
      <w:r>
        <w:t xml:space="preserve"> </w:t>
      </w:r>
      <w:r>
        <w:t xml:space="preserve">§4.1, which</w:t>
      </w:r>
      <w:r>
        <w:t xml:space="preserve"> </w:t>
      </w:r>
      <w:r>
        <w:t xml:space="preserve">states that reporting an observation the person cannot explain is not</w:t>
      </w:r>
      <w:r>
        <w:t xml:space="preserve"> </w:t>
      </w:r>
      <w:r>
        <w:t xml:space="preserve">“</w:t>
      </w:r>
      <w:r>
        <w:t xml:space="preserve">bizarre behavior.</w:t>
      </w:r>
      <w:r>
        <w:t xml:space="preserve">”</w:t>
      </w:r>
    </w:p>
    <w:bookmarkEnd w:id="32"/>
    <w:bookmarkStart w:id="33" w:name="records"/>
    <w:p>
      <w:pPr>
        <w:pStyle w:val="Heading3"/>
      </w:pPr>
      <w:r>
        <w:t xml:space="preserve">4.6 Records</w:t>
      </w:r>
    </w:p>
    <w:p>
      <w:pPr>
        <w:pStyle w:val="FirstParagraph"/>
      </w:pPr>
      <w:r>
        <w:t xml:space="preserve">A person may ask a covered health care provider to amend a record, and if the request is denied, may submit a</w:t>
      </w:r>
      <w:r>
        <w:t xml:space="preserve"> </w:t>
      </w:r>
      <w:r>
        <w:t xml:space="preserve">statement of disagreement that must be included with future disclosures. 45 C.F.R. §164.526. Federal agency records</w:t>
      </w:r>
      <w:r>
        <w:t xml:space="preserve"> </w:t>
      </w:r>
      <w:r>
        <w:t xml:space="preserve">can be amended under the Privacy Act, 5 U.S.C. §552a(d)(2). A request should ask that a report be recorded as the</w:t>
      </w:r>
      <w:r>
        <w:t xml:space="preserve"> </w:t>
      </w:r>
      <w:r>
        <w:t xml:space="preserve">patient’s account of an experience, with any clinical findings stated separately, and should not ask the provider to</w:t>
      </w:r>
      <w:r>
        <w:t xml:space="preserve"> </w:t>
      </w:r>
      <w:r>
        <w:t xml:space="preserve">record the experience as fact.</w:t>
      </w:r>
    </w:p>
    <w:bookmarkEnd w:id="33"/>
    <w:bookmarkStart w:id="35" w:name="public-labeling"/>
    <w:p>
      <w:pPr>
        <w:pStyle w:val="Heading3"/>
      </w:pPr>
      <w:r>
        <w:t xml:space="preserve">4.7 Public labeling</w:t>
      </w:r>
    </w:p>
    <w:p>
      <w:pPr>
        <w:pStyle w:val="FirstParagraph"/>
      </w:pPr>
      <w:r>
        <w:t xml:space="preserve">Calling a UFO witness or researcher</w:t>
      </w:r>
      <w:r>
        <w:t xml:space="preserve"> </w:t>
      </w:r>
      <w:r>
        <w:t xml:space="preserve">“</w:t>
      </w:r>
      <w:r>
        <w:t xml:space="preserve">delusional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schizophrenic</w:t>
      </w:r>
      <w:r>
        <w:t xml:space="preserve">”</w:t>
      </w:r>
      <w:r>
        <w:t xml:space="preserve"> </w:t>
      </w:r>
      <w:r>
        <w:t xml:space="preserve">can be defamatory where it implies a false</w:t>
      </w:r>
      <w:r>
        <w:t xml:space="preserve"> </w:t>
      </w:r>
      <w:r>
        <w:t xml:space="preserve">assertion of fact, such as a diagnosis.</w:t>
      </w:r>
      <w:r>
        <w:t xml:space="preserve"> </w:t>
      </w:r>
      <w:r>
        <w:rPr>
          <w:iCs/>
          <w:i/>
        </w:rPr>
        <w:t xml:space="preserve">Milkovich v. Lorain Journal Co.</w:t>
      </w:r>
      <w:r>
        <w:t xml:space="preserve">, 497 U.S. 1 (1990). See</w:t>
      </w:r>
      <w:r>
        <w:t xml:space="preserve"> </w:t>
      </w:r>
      <w:r>
        <w:rPr>
          <w:iCs/>
          <w:i/>
        </w:rPr>
        <w:t xml:space="preserve">Feuerstein v.</w:t>
      </w:r>
      <w:r>
        <w:rPr>
          <w:iCs/>
          <w:i/>
        </w:rPr>
        <w:t xml:space="preserve"> </w:t>
      </w:r>
      <w:r>
        <w:rPr>
          <w:iCs/>
          <w:i/>
        </w:rPr>
        <w:t xml:space="preserve">Simpson</w:t>
      </w:r>
      <w:r>
        <w:t xml:space="preserve">, 582 F. App’x 93 (3d Cir. 2014) (defendant called a researcher of extraterrestrial contact a</w:t>
      </w:r>
      <w:r>
        <w:t xml:space="preserve"> </w:t>
      </w:r>
      <w:r>
        <w:t xml:space="preserve">“</w:t>
      </w:r>
      <w:r>
        <w:t xml:space="preserve">hallucinating</w:t>
      </w:r>
      <w:r>
        <w:t xml:space="preserve"> </w:t>
      </w:r>
      <w:r>
        <w:t xml:space="preserve">lunatic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schizophrenic</w:t>
      </w:r>
      <w:r>
        <w:t xml:space="preserve">”</w:t>
      </w:r>
      <w:r>
        <w:t xml:space="preserve">).</w:t>
      </w:r>
      <w:r>
        <w:t xml:space="preserve"> </w:t>
      </w:r>
      <w:hyperlink r:id="rId34">
        <w:r>
          <w:rPr>
            <w:rStyle w:val="Hyperlink"/>
          </w:rPr>
          <w:t xml:space="preserve">Issue G1</w:t>
        </w:r>
      </w:hyperlink>
      <w:r>
        <w:t xml:space="preserve"> </w:t>
      </w:r>
      <w:r>
        <w:t xml:space="preserve">covers the risks for publishers.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37" w:name="limits-of-the-argument"/>
    <w:p>
      <w:pPr>
        <w:pStyle w:val="Heading2"/>
      </w:pPr>
      <w:r>
        <w:t xml:space="preserve">5. Limits of the argument</w:t>
      </w:r>
    </w:p>
    <w:p>
      <w:pPr>
        <w:pStyle w:val="FirstParagraph"/>
      </w:pPr>
      <w:r>
        <w:t xml:space="preserve">Some people who report alien contact are ill, and some abduction accounts are products of sleep phenomena,</w:t>
      </w:r>
      <w:r>
        <w:t xml:space="preserve"> </w:t>
      </w:r>
      <w:r>
        <w:t xml:space="preserve">suggestion, or false memory. Counsel’s argument is about evidence: the content of an experience is not proof of</w:t>
      </w:r>
      <w:r>
        <w:t xml:space="preserve"> </w:t>
      </w:r>
      <w:r>
        <w:t xml:space="preserve">illness, and a decision that affects liberty, children, or livelihood must rest on evidence of impaired functioning,</w:t>
      </w:r>
      <w:r>
        <w:t xml:space="preserve"> </w:t>
      </w:r>
      <w:r>
        <w:t xml:space="preserve">danger, or harm. Where that evidence exists, the UFO content does not make it less weighty.</w:t>
      </w:r>
    </w:p>
    <w:p>
      <w:r>
        <w:pict>
          <v:rect style="width:0;height:1.5pt" o:hralign="center" o:hrstd="t" o:hr="t"/>
        </w:pict>
      </w:r>
    </w:p>
    <w:bookmarkEnd w:id="37"/>
    <w:bookmarkStart w:id="40" w:name="tools"/>
    <w:p>
      <w:pPr>
        <w:pStyle w:val="Heading2"/>
      </w:pPr>
      <w:r>
        <w:t xml:space="preserve">6. Tools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Motion in limine</w:t>
      </w:r>
      <w:r>
        <w:t xml:space="preserve"> </w:t>
      </w:r>
      <w:r>
        <w:t xml:space="preserve">(criminal or family court) to exclude or limit evidence and argument that a witness’s or</w:t>
      </w:r>
      <w:r>
        <w:t xml:space="preserve"> </w:t>
      </w:r>
      <w:r>
        <w:t xml:space="preserve">party’s UAP report or belief shows mental illness, built on</w:t>
      </w:r>
      <w:r>
        <w:t xml:space="preserve"> </w:t>
      </w:r>
      <w:r>
        <w:rPr>
          <w:iCs/>
          <w:i/>
        </w:rPr>
        <w:t xml:space="preserve">Fichera</w:t>
      </w:r>
      <w:r>
        <w:t xml:space="preserve">, Rules 403, 608, and 610, and the official</w:t>
      </w:r>
      <w:r>
        <w:t xml:space="preserve"> </w:t>
      </w:r>
      <w:r>
        <w:t xml:space="preserve">record in §2 (</w:t>
      </w:r>
      <w:hyperlink r:id="rId38">
        <w:r>
          <w:rPr>
            <w:rStyle w:val="Hyperlink"/>
          </w:rPr>
          <w:t xml:space="preserve">Form H4-1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Letter to an evaluator</w:t>
      </w:r>
      <w:r>
        <w:t xml:space="preserve"> </w:t>
      </w:r>
      <w:r>
        <w:t xml:space="preserve">asking that the evaluation address functional capacity, danger, and the presence of</w:t>
      </w:r>
      <w:r>
        <w:t xml:space="preserve"> </w:t>
      </w:r>
      <w:r>
        <w:t xml:space="preserve">other symptoms, and that the report record the experience as the person’s account (</w:t>
      </w:r>
      <w:hyperlink r:id="rId39">
        <w:r>
          <w:rPr>
            <w:rStyle w:val="Hyperlink"/>
          </w:rPr>
          <w:t xml:space="preserve">Form H4-2</w:t>
        </w:r>
      </w:hyperlink>
      <w:r>
        <w:t xml:space="preserve">, Part A).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HIPAA amendment request</w:t>
      </w:r>
      <w:r>
        <w:t xml:space="preserve"> </w:t>
      </w:r>
      <w:r>
        <w:t xml:space="preserve">and statement of disagreement for records that label a report as a delusion without</w:t>
      </w:r>
      <w:r>
        <w:t xml:space="preserve"> </w:t>
      </w:r>
      <w:r>
        <w:t xml:space="preserve">clinical findings (</w:t>
      </w:r>
      <w:hyperlink r:id="rId39">
        <w:r>
          <w:rPr>
            <w:rStyle w:val="Hyperlink"/>
          </w:rPr>
          <w:t xml:space="preserve">Form H4-2</w:t>
        </w:r>
      </w:hyperlink>
      <w:r>
        <w:t xml:space="preserve">, Part B).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Practice checklist</w:t>
      </w:r>
      <w:r>
        <w:t xml:space="preserve"> </w:t>
      </w:r>
      <w:r>
        <w:t xml:space="preserve">for counsel: separate the report from the diagnosis; retain an evaluator familiar with the</w:t>
      </w:r>
      <w:r>
        <w:t xml:space="preserve"> </w:t>
      </w:r>
      <w:r>
        <w:t xml:space="preserve">literature on anomalous experiences; prepare the client to describe the experience factually; object to ridicule;</w:t>
      </w:r>
      <w:r>
        <w:t xml:space="preserve"> </w:t>
      </w:r>
      <w:r>
        <w:t xml:space="preserve">build the record of the client’s ordinary functioning (work, family, finances).</w:t>
      </w:r>
    </w:p>
    <w:p>
      <w:r>
        <w:pict>
          <v:rect style="width:0;height:1.5pt" o:hralign="center" o:hrstd="t" o:hr="t"/>
        </w:pict>
      </w:r>
    </w:p>
    <w:bookmarkEnd w:id="40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UFO and Abduction Reports Treated as Evidence of Mental Illness: How Courts,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8" Type="http://schemas.openxmlformats.org/officeDocument/2006/relationships/hyperlink" Target="https://nhilaw.com/forms/h4-1.html" TargetMode="External"/><Relationship Id="rId39" Type="http://schemas.openxmlformats.org/officeDocument/2006/relationships/hyperlink" Target="https://nhilaw.com/forms/h4-2.html" TargetMode="External"/><Relationship Id="rId31" Type="http://schemas.openxmlformats.org/officeDocument/2006/relationships/hyperlink" Target="https://nhilaw.com/issues/c5.html" TargetMode="External"/><Relationship Id="rId30" Type="http://schemas.openxmlformats.org/officeDocument/2006/relationships/hyperlink" Target="https://nhilaw.com/issues/d7.html" TargetMode="External"/><Relationship Id="rId34" Type="http://schemas.openxmlformats.org/officeDocument/2006/relationships/hyperlink" Target="https://nhilaw.com/issues/g1.html" TargetMode="External"/><Relationship Id="rId22" Type="http://schemas.openxmlformats.org/officeDocument/2006/relationships/hyperlink" Target="https://nhilaw.com/issues/h2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8" Type="http://schemas.openxmlformats.org/officeDocument/2006/relationships/hyperlink" Target="https://nhilaw.com/forms/h4-1.html" TargetMode="External"/><Relationship Id="rId39" Type="http://schemas.openxmlformats.org/officeDocument/2006/relationships/hyperlink" Target="https://nhilaw.com/forms/h4-2.html" TargetMode="External"/><Relationship Id="rId31" Type="http://schemas.openxmlformats.org/officeDocument/2006/relationships/hyperlink" Target="https://nhilaw.com/issues/c5.html" TargetMode="External"/><Relationship Id="rId30" Type="http://schemas.openxmlformats.org/officeDocument/2006/relationships/hyperlink" Target="https://nhilaw.com/issues/d7.html" TargetMode="External"/><Relationship Id="rId34" Type="http://schemas.openxmlformats.org/officeDocument/2006/relationships/hyperlink" Target="https://nhilaw.com/issues/g1.html" TargetMode="External"/><Relationship Id="rId22" Type="http://schemas.openxmlformats.org/officeDocument/2006/relationships/hyperlink" Target="https://nhilaw.com/issues/h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UFO and Abduction Reports Treated as Evidence of Mental Illness: How Courts, Counsel, and Evaluators Should Handle Them Now</dc:title>
  <dc:creator>nhilaw.com</dc:creator>
  <cp:keywords/>
  <dcterms:created xsi:type="dcterms:W3CDTF">2026-10-19T13:54:14Z</dcterms:created>
  <dcterms:modified xsi:type="dcterms:W3CDTF">2026-10-19T13:54:14Z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nhilaw.com/issues/h4.html</vt:lpwstr>
  </property>
</Properties>
</file>